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83CE7" w14:textId="05EFDFFD" w:rsidR="00AE6863" w:rsidRPr="001877C5" w:rsidRDefault="00AE6863" w:rsidP="00AE6863">
      <w:pPr>
        <w:rPr>
          <w:b/>
        </w:rPr>
      </w:pPr>
      <w:bookmarkStart w:id="0" w:name="_GoBack"/>
      <w:bookmarkEnd w:id="0"/>
      <w:r w:rsidRPr="001877C5">
        <w:rPr>
          <w:b/>
          <w:i/>
        </w:rPr>
        <w:t>Virginia Woolf</w:t>
      </w:r>
      <w:r w:rsidR="00165986" w:rsidRPr="001877C5">
        <w:rPr>
          <w:b/>
        </w:rPr>
        <w:t>,</w:t>
      </w:r>
      <w:r w:rsidRPr="001877C5">
        <w:rPr>
          <w:b/>
          <w:i/>
        </w:rPr>
        <w:t xml:space="preserve"> lectures françaises</w:t>
      </w:r>
    </w:p>
    <w:p w14:paraId="66154960" w14:textId="77777777" w:rsidR="00AE6863" w:rsidRPr="00AE6863" w:rsidRDefault="00AE6863" w:rsidP="00AE6863"/>
    <w:p w14:paraId="59ACD173" w14:textId="77777777" w:rsidR="00AE6863" w:rsidRPr="00AE6863" w:rsidRDefault="00AE6863" w:rsidP="00AE6863">
      <w:r w:rsidRPr="00AE6863">
        <w:t>Université de Brest – Centre d’étude des correspondances et des journaux intimes</w:t>
      </w:r>
    </w:p>
    <w:p w14:paraId="55EBFFFE" w14:textId="77777777" w:rsidR="00AE6863" w:rsidRPr="00AE6863" w:rsidRDefault="00AE6863" w:rsidP="00AE6863">
      <w:r w:rsidRPr="00AE6863">
        <w:t>Société d’Études Woolfiennes</w:t>
      </w:r>
    </w:p>
    <w:p w14:paraId="59C89D98" w14:textId="0000BDFB" w:rsidR="00AE6863" w:rsidRDefault="00AE6863" w:rsidP="00AE6863">
      <w:r w:rsidRPr="00AE6863">
        <w:t>Jeudi 17 mars</w:t>
      </w:r>
      <w:r w:rsidR="00097320">
        <w:t xml:space="preserve"> (14h)</w:t>
      </w:r>
      <w:r w:rsidRPr="00AE6863">
        <w:t xml:space="preserve"> - Vendredi 18 mars 2022</w:t>
      </w:r>
    </w:p>
    <w:p w14:paraId="3784E6DA" w14:textId="00991A88" w:rsidR="007503DA" w:rsidRDefault="007503DA" w:rsidP="00AE6863"/>
    <w:p w14:paraId="29C47166" w14:textId="77777777" w:rsidR="0053320B" w:rsidRDefault="00432294" w:rsidP="0053320B">
      <w:r w:rsidRPr="0053320B">
        <w:t>Conférence plénière</w:t>
      </w:r>
      <w:r w:rsidR="007503DA" w:rsidRPr="0053320B">
        <w:t xml:space="preserve"> : </w:t>
      </w:r>
    </w:p>
    <w:p w14:paraId="646151D1" w14:textId="4FA672BD" w:rsidR="0053320B" w:rsidRPr="0053320B" w:rsidRDefault="0053320B" w:rsidP="00AE6863">
      <w:r>
        <w:t xml:space="preserve">I/ </w:t>
      </w:r>
      <w:r w:rsidR="007503DA" w:rsidRPr="0053320B">
        <w:t xml:space="preserve">Catherine </w:t>
      </w:r>
      <w:proofErr w:type="spellStart"/>
      <w:r w:rsidR="007503DA" w:rsidRPr="0053320B">
        <w:t>Lanone</w:t>
      </w:r>
      <w:proofErr w:type="spellEnd"/>
      <w:r w:rsidR="007503DA" w:rsidRPr="0053320B">
        <w:t>, Université Sorbonne-Nouvelle</w:t>
      </w:r>
      <w:r w:rsidR="00DC5993" w:rsidRPr="0053320B">
        <w:t>,</w:t>
      </w:r>
      <w:r w:rsidR="006E5FFD" w:rsidRPr="0053320B">
        <w:t xml:space="preserve"> </w:t>
      </w:r>
      <w:r w:rsidRPr="0053320B">
        <w:t>« </w:t>
      </w:r>
      <w:r w:rsidR="0098354C">
        <w:t xml:space="preserve">The Shadow of an Echo </w:t>
      </w:r>
      <w:r w:rsidRPr="0053320B">
        <w:t>: traduire la poétique de</w:t>
      </w:r>
      <w:r>
        <w:t xml:space="preserve"> l’</w:t>
      </w:r>
      <w:proofErr w:type="spellStart"/>
      <w:r>
        <w:t>insubstantiel</w:t>
      </w:r>
      <w:proofErr w:type="spellEnd"/>
      <w:r>
        <w:t xml:space="preserve"> de Fry à Mauron » </w:t>
      </w:r>
    </w:p>
    <w:p w14:paraId="243C1D82" w14:textId="56BDB004" w:rsidR="0053320B" w:rsidRPr="0053320B" w:rsidRDefault="0053320B" w:rsidP="0053320B">
      <w:r>
        <w:t xml:space="preserve">II/ </w:t>
      </w:r>
      <w:r w:rsidR="006E5FFD">
        <w:t>Claire Davison, Université Sorbonne-Nouvelle</w:t>
      </w:r>
      <w:r>
        <w:t>, « </w:t>
      </w:r>
      <w:r w:rsidRPr="0053320B">
        <w:rPr>
          <w:color w:val="000000"/>
        </w:rPr>
        <w:t>‘</w:t>
      </w:r>
      <w:proofErr w:type="spellStart"/>
      <w:r w:rsidRPr="0053320B">
        <w:rPr>
          <w:color w:val="000000"/>
        </w:rPr>
        <w:t>Why</w:t>
      </w:r>
      <w:proofErr w:type="spellEnd"/>
      <w:r w:rsidRPr="0053320B">
        <w:rPr>
          <w:color w:val="000000"/>
        </w:rPr>
        <w:t xml:space="preserve"> Renan?’ - Représentations et résonances de </w:t>
      </w:r>
      <w:r w:rsidRPr="0053320B">
        <w:rPr>
          <w:i/>
          <w:iCs/>
          <w:color w:val="000000"/>
        </w:rPr>
        <w:t>l’Histoire des origines du christianisme </w:t>
      </w:r>
      <w:r w:rsidRPr="0053320B">
        <w:rPr>
          <w:color w:val="000000"/>
        </w:rPr>
        <w:t> dans </w:t>
      </w:r>
      <w:r w:rsidRPr="0053320B">
        <w:rPr>
          <w:i/>
          <w:iCs/>
          <w:color w:val="000000"/>
        </w:rPr>
        <w:t xml:space="preserve">The </w:t>
      </w:r>
      <w:proofErr w:type="spellStart"/>
      <w:r w:rsidRPr="0053320B">
        <w:rPr>
          <w:i/>
          <w:iCs/>
          <w:color w:val="000000"/>
        </w:rPr>
        <w:t>Years</w:t>
      </w:r>
      <w:proofErr w:type="spellEnd"/>
      <w:r w:rsidRPr="0053320B">
        <w:rPr>
          <w:i/>
          <w:iCs/>
          <w:color w:val="000000"/>
        </w:rPr>
        <w:t> </w:t>
      </w:r>
      <w:r w:rsidRPr="0053320B">
        <w:rPr>
          <w:color w:val="000000"/>
        </w:rPr>
        <w:t> et </w:t>
      </w:r>
      <w:proofErr w:type="spellStart"/>
      <w:r w:rsidRPr="0053320B">
        <w:rPr>
          <w:i/>
          <w:iCs/>
          <w:color w:val="000000"/>
        </w:rPr>
        <w:t>Three</w:t>
      </w:r>
      <w:proofErr w:type="spellEnd"/>
      <w:r w:rsidRPr="0053320B">
        <w:rPr>
          <w:i/>
          <w:iCs/>
          <w:color w:val="000000"/>
        </w:rPr>
        <w:t xml:space="preserve"> </w:t>
      </w:r>
      <w:proofErr w:type="spellStart"/>
      <w:r w:rsidRPr="0053320B">
        <w:rPr>
          <w:i/>
          <w:iCs/>
          <w:color w:val="000000"/>
        </w:rPr>
        <w:t>Guineas</w:t>
      </w:r>
      <w:proofErr w:type="spellEnd"/>
      <w:r>
        <w:rPr>
          <w:iCs/>
          <w:color w:val="000000"/>
        </w:rPr>
        <w:t> »</w:t>
      </w:r>
      <w:r w:rsidRPr="0053320B">
        <w:rPr>
          <w:i/>
          <w:iCs/>
          <w:color w:val="000000"/>
        </w:rPr>
        <w:t>.</w:t>
      </w:r>
    </w:p>
    <w:p w14:paraId="0C9B92CD" w14:textId="72F71700" w:rsidR="007503DA" w:rsidRPr="007503DA" w:rsidRDefault="007503DA" w:rsidP="00AE6863"/>
    <w:p w14:paraId="0052C6C2" w14:textId="77777777" w:rsidR="00AE6863" w:rsidRPr="007503DA" w:rsidRDefault="00AE6863" w:rsidP="00AE6863"/>
    <w:p w14:paraId="45D291C7" w14:textId="322869D5" w:rsidR="0025643F" w:rsidRPr="00E441F7" w:rsidRDefault="002A541B" w:rsidP="00E441F7">
      <w:pPr>
        <w:ind w:firstLine="708"/>
        <w:jc w:val="both"/>
        <w:rPr>
          <w:i/>
          <w:iCs/>
        </w:rPr>
      </w:pPr>
      <w:r w:rsidRPr="002A541B">
        <w:t>Nous proposons de nous intéresser aux le</w:t>
      </w:r>
      <w:r>
        <w:t xml:space="preserve">ctures françaises de Virginia Woolf dans tous les sens du terme, qu’il s’agisse </w:t>
      </w:r>
      <w:r w:rsidR="00D6215E" w:rsidRPr="00190299">
        <w:t>de la manière dont les auteur(e)s et critiques français(es) ont interprété son œuvre</w:t>
      </w:r>
      <w:r w:rsidR="00D6215E">
        <w:t xml:space="preserve"> ou </w:t>
      </w:r>
      <w:r>
        <w:t>de la diversité des allusions à la littérature française qui parcour</w:t>
      </w:r>
      <w:r w:rsidR="006C107D">
        <w:t>en</w:t>
      </w:r>
      <w:r>
        <w:t>t ses essais</w:t>
      </w:r>
      <w:r w:rsidR="00C1293D">
        <w:t xml:space="preserve">, </w:t>
      </w:r>
      <w:r w:rsidR="0071540A" w:rsidRPr="00190299">
        <w:t xml:space="preserve">depuis les </w:t>
      </w:r>
      <w:r w:rsidR="002459B5" w:rsidRPr="00190299">
        <w:t>recensions de vies de femmes</w:t>
      </w:r>
      <w:r w:rsidR="00EC6F74" w:rsidRPr="00190299">
        <w:t xml:space="preserve"> </w:t>
      </w:r>
      <w:r w:rsidR="00944CB5" w:rsidRPr="00190299">
        <w:t xml:space="preserve">hétérodoxes </w:t>
      </w:r>
      <w:r w:rsidR="002459B5" w:rsidRPr="00190299">
        <w:t>du Grand Siècle</w:t>
      </w:r>
      <w:r w:rsidR="00521304" w:rsidRPr="00190299">
        <w:t xml:space="preserve">, dont </w:t>
      </w:r>
      <w:r w:rsidRPr="00190299">
        <w:t xml:space="preserve">« Louise de la </w:t>
      </w:r>
      <w:proofErr w:type="spellStart"/>
      <w:r w:rsidRPr="00190299">
        <w:t>Vallière</w:t>
      </w:r>
      <w:proofErr w:type="spellEnd"/>
      <w:r w:rsidRPr="00190299">
        <w:t xml:space="preserve"> » </w:t>
      </w:r>
      <w:r w:rsidR="002A2AF9">
        <w:t>(</w:t>
      </w:r>
      <w:r w:rsidRPr="00190299">
        <w:t>1908</w:t>
      </w:r>
      <w:r w:rsidR="002A2AF9">
        <w:t>)</w:t>
      </w:r>
      <w:r w:rsidR="00030CC3" w:rsidRPr="00190299">
        <w:t>, Madeleine </w:t>
      </w:r>
      <w:r w:rsidR="00B02605" w:rsidRPr="00190299">
        <w:t>de Scudéry</w:t>
      </w:r>
      <w:r w:rsidR="001917FF" w:rsidRPr="00190299">
        <w:t xml:space="preserve"> </w:t>
      </w:r>
      <w:r w:rsidR="00FD4B11" w:rsidRPr="00190299">
        <w:t>(</w:t>
      </w:r>
      <w:r w:rsidR="005374DB" w:rsidRPr="00190299">
        <w:t xml:space="preserve">dans </w:t>
      </w:r>
      <w:r w:rsidR="00B02605" w:rsidRPr="00190299">
        <w:rPr>
          <w:i/>
        </w:rPr>
        <w:t xml:space="preserve">Madeleine </w:t>
      </w:r>
      <w:r w:rsidR="001917FF" w:rsidRPr="00190299">
        <w:t xml:space="preserve">de Hope </w:t>
      </w:r>
      <w:proofErr w:type="spellStart"/>
      <w:r w:rsidR="001917FF" w:rsidRPr="00190299">
        <w:t>Mir</w:t>
      </w:r>
      <w:r w:rsidR="00995E74" w:rsidRPr="00190299">
        <w:t>r</w:t>
      </w:r>
      <w:r w:rsidR="001917FF" w:rsidRPr="00190299">
        <w:t>lees</w:t>
      </w:r>
      <w:proofErr w:type="spellEnd"/>
      <w:r w:rsidR="00FD4B11" w:rsidRPr="00190299">
        <w:t>)</w:t>
      </w:r>
      <w:r w:rsidR="002459B5" w:rsidRPr="00190299">
        <w:t xml:space="preserve"> </w:t>
      </w:r>
      <w:r w:rsidR="002A2AF9">
        <w:t>(</w:t>
      </w:r>
      <w:r w:rsidR="002459B5" w:rsidRPr="00190299">
        <w:t>1919</w:t>
      </w:r>
      <w:r w:rsidR="002A2AF9">
        <w:t>)</w:t>
      </w:r>
      <w:r w:rsidR="00FB7EB4" w:rsidRPr="00190299">
        <w:t>,</w:t>
      </w:r>
      <w:r w:rsidR="00030CC3" w:rsidRPr="00190299">
        <w:t xml:space="preserve"> </w:t>
      </w:r>
      <w:r w:rsidRPr="00190299">
        <w:t>jusqu’à « Montaigne »</w:t>
      </w:r>
      <w:r w:rsidR="00FB7EB4" w:rsidRPr="00190299">
        <w:t xml:space="preserve">, le premier autobiographe </w:t>
      </w:r>
      <w:r w:rsidR="0071540A" w:rsidRPr="00190299">
        <w:t>(</w:t>
      </w:r>
      <w:r w:rsidR="00FB7EB4" w:rsidRPr="00190299">
        <w:t>« plus je me hante et connais »</w:t>
      </w:r>
      <w:r w:rsidR="0025643F" w:rsidRPr="00190299">
        <w:rPr>
          <w:rStyle w:val="Marquedenotedefin"/>
        </w:rPr>
        <w:endnoteReference w:id="1"/>
      </w:r>
      <w:r w:rsidR="0025643F" w:rsidRPr="00190299">
        <w:t>)</w:t>
      </w:r>
      <w:r w:rsidR="002A2AF9">
        <w:t xml:space="preserve"> (</w:t>
      </w:r>
      <w:r w:rsidR="0025643F" w:rsidRPr="00190299">
        <w:t>1925</w:t>
      </w:r>
      <w:r w:rsidR="002A2AF9">
        <w:t>)</w:t>
      </w:r>
      <w:r w:rsidR="0025643F" w:rsidRPr="00190299">
        <w:t xml:space="preserve">, ou les réflexions de Woolf sur Proust, qui la subjugue, dans « Phases of Fiction » </w:t>
      </w:r>
      <w:r w:rsidR="002A2AF9">
        <w:t>(</w:t>
      </w:r>
      <w:r w:rsidR="0025643F" w:rsidRPr="00190299">
        <w:t>1929</w:t>
      </w:r>
      <w:r w:rsidR="002A2AF9">
        <w:t>)</w:t>
      </w:r>
      <w:r w:rsidR="0025643F" w:rsidRPr="00190299">
        <w:rPr>
          <w:rStyle w:val="Marquedenotedefin"/>
        </w:rPr>
        <w:endnoteReference w:id="2"/>
      </w:r>
      <w:r w:rsidR="00600396">
        <w:t>.</w:t>
      </w:r>
      <w:r w:rsidR="0025643F" w:rsidRPr="00190299">
        <w:t xml:space="preserve"> </w:t>
      </w:r>
      <w:r w:rsidR="0025643F" w:rsidRPr="00190299">
        <w:rPr>
          <w:rFonts w:eastAsia="Calibri"/>
        </w:rPr>
        <w:t xml:space="preserve">Aussi découvrons-nous, à la lecture du journal, de la correspondance et des essais, son appétit vorace pour les écrivain(e)s français(es) – Rabelais, Madame de Sévigné, Racine, Rousseau, Saint-Simon, </w:t>
      </w:r>
      <w:r w:rsidR="0025643F" w:rsidRPr="00190299">
        <w:t>Stendhal, Sand, Flaubert, Mallarmé, Rimbaud et Maurois</w:t>
      </w:r>
      <w:r w:rsidR="0025643F" w:rsidRPr="00190299">
        <w:rPr>
          <w:vertAlign w:val="superscript"/>
        </w:rPr>
        <w:endnoteReference w:id="3"/>
      </w:r>
      <w:r w:rsidR="00600396">
        <w:t>.</w:t>
      </w:r>
      <w:r w:rsidR="00E441F7">
        <w:rPr>
          <w:i/>
          <w:iCs/>
        </w:rPr>
        <w:t xml:space="preserve"> </w:t>
      </w:r>
      <w:r w:rsidR="0025643F" w:rsidRPr="00190299">
        <w:t xml:space="preserve">Nombreuses sont les publications de la </w:t>
      </w:r>
      <w:r w:rsidR="0025643F" w:rsidRPr="00190299">
        <w:rPr>
          <w:i/>
          <w:iCs/>
        </w:rPr>
        <w:t xml:space="preserve">Hogarth </w:t>
      </w:r>
      <w:proofErr w:type="spellStart"/>
      <w:r w:rsidR="0025643F" w:rsidRPr="00190299">
        <w:rPr>
          <w:i/>
          <w:iCs/>
        </w:rPr>
        <w:t>Press</w:t>
      </w:r>
      <w:proofErr w:type="spellEnd"/>
      <w:r w:rsidR="0025643F" w:rsidRPr="00190299">
        <w:t xml:space="preserve"> qui entérinent cet attrait manifeste pour la littérature française, attrait dont nous</w:t>
      </w:r>
      <w:r w:rsidR="0025643F">
        <w:t xml:space="preserve"> pourrons tracer les échos dans l’œuvre woolfienne : </w:t>
      </w:r>
      <w:r w:rsidR="0025643F" w:rsidRPr="00B62B7A">
        <w:t xml:space="preserve">étude </w:t>
      </w:r>
      <w:r w:rsidR="0025643F" w:rsidRPr="004F5E75">
        <w:t xml:space="preserve">de </w:t>
      </w:r>
      <w:r w:rsidR="0025643F" w:rsidRPr="003E7A3C">
        <w:t>Charles Mauron consacrée à la beauté dans l’art et la littérature,</w:t>
      </w:r>
      <w:r w:rsidR="0025643F">
        <w:t xml:space="preserve"> </w:t>
      </w:r>
      <w:r w:rsidR="0025643F" w:rsidRPr="00B62B7A">
        <w:t xml:space="preserve">biographie de Voltaire de Laura </w:t>
      </w:r>
      <w:proofErr w:type="spellStart"/>
      <w:r w:rsidR="0025643F" w:rsidRPr="00B62B7A">
        <w:t>Riding</w:t>
      </w:r>
      <w:proofErr w:type="spellEnd"/>
      <w:r w:rsidR="0025643F" w:rsidRPr="00B62B7A">
        <w:t>,</w:t>
      </w:r>
      <w:r w:rsidR="0025643F">
        <w:t xml:space="preserve"> </w:t>
      </w:r>
      <w:proofErr w:type="spellStart"/>
      <w:r w:rsidR="0025643F">
        <w:rPr>
          <w:i/>
        </w:rPr>
        <w:t>Judgement</w:t>
      </w:r>
      <w:proofErr w:type="spellEnd"/>
      <w:r w:rsidR="0025643F">
        <w:rPr>
          <w:i/>
        </w:rPr>
        <w:t xml:space="preserve"> of </w:t>
      </w:r>
      <w:r w:rsidR="0025643F" w:rsidRPr="004F5E75">
        <w:rPr>
          <w:i/>
          <w:iCs/>
        </w:rPr>
        <w:t>François Villon</w:t>
      </w:r>
      <w:r w:rsidR="0025643F" w:rsidRPr="004F5E75">
        <w:t xml:space="preserve"> d’Herbert Edward Palmer,</w:t>
      </w:r>
      <w:r w:rsidR="0025643F">
        <w:rPr>
          <w:i/>
          <w:iCs/>
        </w:rPr>
        <w:t xml:space="preserve"> </w:t>
      </w:r>
      <w:proofErr w:type="spellStart"/>
      <w:r w:rsidR="0025643F">
        <w:rPr>
          <w:i/>
          <w:iCs/>
        </w:rPr>
        <w:t>Apology</w:t>
      </w:r>
      <w:proofErr w:type="spellEnd"/>
      <w:r w:rsidR="0025643F">
        <w:rPr>
          <w:i/>
          <w:iCs/>
        </w:rPr>
        <w:t xml:space="preserve"> of </w:t>
      </w:r>
      <w:r w:rsidR="0025643F" w:rsidRPr="001E152A">
        <w:rPr>
          <w:i/>
          <w:iCs/>
        </w:rPr>
        <w:t xml:space="preserve">Arthur Rimbaud </w:t>
      </w:r>
      <w:r w:rsidR="0025643F" w:rsidRPr="001E152A">
        <w:t xml:space="preserve">d’Edward Sackville West, </w:t>
      </w:r>
      <w:r w:rsidR="0025643F" w:rsidRPr="001E152A">
        <w:rPr>
          <w:i/>
          <w:iCs/>
        </w:rPr>
        <w:t>Proust</w:t>
      </w:r>
      <w:r w:rsidR="0025643F" w:rsidRPr="001E152A">
        <w:t xml:space="preserve"> de Clive Bell</w:t>
      </w:r>
      <w:r w:rsidR="0025643F" w:rsidRPr="008F4924">
        <w:rPr>
          <w:i/>
        </w:rPr>
        <w:t>,</w:t>
      </w:r>
      <w:r w:rsidR="0025643F">
        <w:rPr>
          <w:i/>
          <w:iCs/>
        </w:rPr>
        <w:t xml:space="preserve"> </w:t>
      </w:r>
      <w:proofErr w:type="spellStart"/>
      <w:r w:rsidR="0025643F">
        <w:rPr>
          <w:i/>
          <w:iCs/>
        </w:rPr>
        <w:t>Diary</w:t>
      </w:r>
      <w:proofErr w:type="spellEnd"/>
      <w:r w:rsidR="0025643F">
        <w:rPr>
          <w:i/>
          <w:iCs/>
        </w:rPr>
        <w:t xml:space="preserve"> of </w:t>
      </w:r>
      <w:proofErr w:type="spellStart"/>
      <w:r w:rsidR="0025643F">
        <w:rPr>
          <w:i/>
          <w:iCs/>
        </w:rPr>
        <w:t>Montaigne’s</w:t>
      </w:r>
      <w:proofErr w:type="spellEnd"/>
      <w:r w:rsidR="0025643F">
        <w:rPr>
          <w:i/>
          <w:iCs/>
        </w:rPr>
        <w:t xml:space="preserve"> Journey to </w:t>
      </w:r>
      <w:proofErr w:type="spellStart"/>
      <w:r w:rsidR="0025643F">
        <w:rPr>
          <w:i/>
          <w:iCs/>
        </w:rPr>
        <w:t>Italy</w:t>
      </w:r>
      <w:proofErr w:type="spellEnd"/>
      <w:r w:rsidR="00432294">
        <w:rPr>
          <w:iCs/>
        </w:rPr>
        <w:t xml:space="preserve">, </w:t>
      </w:r>
      <w:r w:rsidR="0025643F" w:rsidRPr="008C53E4">
        <w:t>étude</w:t>
      </w:r>
      <w:r w:rsidR="0025643F" w:rsidRPr="001E152A">
        <w:t xml:space="preserve"> de Louis Racine sur Milton</w:t>
      </w:r>
      <w:r w:rsidR="00432294">
        <w:t xml:space="preserve">, </w:t>
      </w:r>
      <w:proofErr w:type="spellStart"/>
      <w:r w:rsidR="0025643F" w:rsidRPr="00432294">
        <w:rPr>
          <w:i/>
        </w:rPr>
        <w:t>Defeat</w:t>
      </w:r>
      <w:proofErr w:type="spellEnd"/>
      <w:r w:rsidR="0025643F" w:rsidRPr="00432294">
        <w:rPr>
          <w:i/>
        </w:rPr>
        <w:t xml:space="preserve"> of </w:t>
      </w:r>
      <w:r w:rsidR="0025643F" w:rsidRPr="00432294">
        <w:rPr>
          <w:i/>
          <w:iCs/>
        </w:rPr>
        <w:t>Baudelaire</w:t>
      </w:r>
      <w:r w:rsidR="0025643F" w:rsidRPr="00432294">
        <w:t xml:space="preserve"> par René Laforgue</w:t>
      </w:r>
      <w:r w:rsidR="0025643F">
        <w:rPr>
          <w:rStyle w:val="Marquedenotedefin"/>
        </w:rPr>
        <w:endnoteReference w:id="4"/>
      </w:r>
      <w:r w:rsidR="00600396">
        <w:t>.</w:t>
      </w:r>
    </w:p>
    <w:p w14:paraId="3A2F51EE" w14:textId="77777777" w:rsidR="001D1FF9" w:rsidRPr="00432294" w:rsidRDefault="001D1FF9"/>
    <w:p w14:paraId="4466D86C" w14:textId="05EB264D" w:rsidR="00DB1EF7" w:rsidRDefault="0057408B" w:rsidP="00034636">
      <w:pPr>
        <w:jc w:val="both"/>
      </w:pPr>
      <w:r>
        <w:t xml:space="preserve">Nous pourrons </w:t>
      </w:r>
      <w:r w:rsidR="00FB7EB4">
        <w:t xml:space="preserve">réfléchir </w:t>
      </w:r>
      <w:r w:rsidR="00A57E27">
        <w:t>au désir de Woolf de lire en français</w:t>
      </w:r>
      <w:r w:rsidR="0025643F">
        <w:rPr>
          <w:rStyle w:val="Marquedenotedefin"/>
        </w:rPr>
        <w:endnoteReference w:id="5"/>
      </w:r>
      <w:r w:rsidR="0025643F">
        <w:t xml:space="preserve">, à sa pensée sur la lecture de l’autre langue dans « On Not </w:t>
      </w:r>
      <w:proofErr w:type="spellStart"/>
      <w:r w:rsidR="0025643F">
        <w:t>Knowing</w:t>
      </w:r>
      <w:proofErr w:type="spellEnd"/>
      <w:r w:rsidR="0025643F">
        <w:t xml:space="preserve"> French » </w:t>
      </w:r>
      <w:r w:rsidR="00600396">
        <w:t>(</w:t>
      </w:r>
      <w:r w:rsidR="0025643F">
        <w:t>1929</w:t>
      </w:r>
      <w:r w:rsidR="00600396">
        <w:t>)</w:t>
      </w:r>
      <w:r w:rsidR="0025643F">
        <w:t>, sur la puissance de l’étrangeté qui fait que nous lisons les mots de l’autre langue comme pour la première fois (« </w:t>
      </w:r>
      <w:r w:rsidR="0025643F" w:rsidRPr="00D84215">
        <w:rPr>
          <w:i/>
        </w:rPr>
        <w:t xml:space="preserve">a </w:t>
      </w:r>
      <w:proofErr w:type="spellStart"/>
      <w:r w:rsidR="0025643F" w:rsidRPr="00D84215">
        <w:rPr>
          <w:i/>
        </w:rPr>
        <w:t>curious</w:t>
      </w:r>
      <w:proofErr w:type="spellEnd"/>
      <w:r w:rsidR="0025643F" w:rsidRPr="00D84215">
        <w:rPr>
          <w:i/>
        </w:rPr>
        <w:t xml:space="preserve"> </w:t>
      </w:r>
      <w:proofErr w:type="spellStart"/>
      <w:r w:rsidR="0025643F" w:rsidRPr="00D84215">
        <w:rPr>
          <w:i/>
        </w:rPr>
        <w:t>word</w:t>
      </w:r>
      <w:proofErr w:type="spellEnd"/>
      <w:r w:rsidR="0025643F" w:rsidRPr="00D84215">
        <w:rPr>
          <w:i/>
        </w:rPr>
        <w:t xml:space="preserve"> </w:t>
      </w:r>
      <w:r w:rsidR="0025643F" w:rsidRPr="00D84215">
        <w:rPr>
          <w:rFonts w:ascii="Calibri" w:hAnsi="Calibri" w:cs="Calibri"/>
          <w:i/>
        </w:rPr>
        <w:t>[</w:t>
      </w:r>
      <w:r w:rsidR="0025643F" w:rsidRPr="00D84215">
        <w:rPr>
          <w:i/>
        </w:rPr>
        <w:t>…</w:t>
      </w:r>
      <w:r w:rsidR="0025643F" w:rsidRPr="00D84215">
        <w:rPr>
          <w:rFonts w:ascii="Calibri" w:hAnsi="Calibri" w:cs="Calibri"/>
          <w:i/>
        </w:rPr>
        <w:t>]</w:t>
      </w:r>
      <w:r w:rsidR="0025643F" w:rsidRPr="00D84215">
        <w:rPr>
          <w:i/>
        </w:rPr>
        <w:t xml:space="preserve"> </w:t>
      </w:r>
      <w:proofErr w:type="spellStart"/>
      <w:r w:rsidR="0025643F" w:rsidRPr="00D84215">
        <w:rPr>
          <w:i/>
        </w:rPr>
        <w:t>apart</w:t>
      </w:r>
      <w:proofErr w:type="spellEnd"/>
      <w:r w:rsidR="0025643F" w:rsidRPr="00D84215">
        <w:rPr>
          <w:i/>
        </w:rPr>
        <w:t xml:space="preserve"> </w:t>
      </w:r>
      <w:proofErr w:type="spellStart"/>
      <w:r w:rsidR="0025643F" w:rsidRPr="00D84215">
        <w:rPr>
          <w:i/>
        </w:rPr>
        <w:t>from</w:t>
      </w:r>
      <w:proofErr w:type="spellEnd"/>
      <w:r w:rsidR="0025643F" w:rsidRPr="00D84215">
        <w:rPr>
          <w:i/>
        </w:rPr>
        <w:t xml:space="preserve"> the </w:t>
      </w:r>
      <w:proofErr w:type="spellStart"/>
      <w:r w:rsidR="0025643F" w:rsidRPr="00D84215">
        <w:rPr>
          <w:i/>
        </w:rPr>
        <w:t>text</w:t>
      </w:r>
      <w:proofErr w:type="spellEnd"/>
      <w:r w:rsidR="0025643F" w:rsidRPr="00D84215">
        <w:rPr>
          <w:i/>
        </w:rPr>
        <w:t> </w:t>
      </w:r>
      <w:r w:rsidR="0025643F">
        <w:t>»)</w:t>
      </w:r>
      <w:r w:rsidR="0025643F" w:rsidRPr="00215DDE">
        <w:t>,</w:t>
      </w:r>
      <w:r w:rsidR="0025643F">
        <w:t xml:space="preserve"> et la manière dont, selon Woolf, la critique française de la littérature anglaise opère un déplacement du regard (« </w:t>
      </w:r>
      <w:r w:rsidR="0025643F" w:rsidRPr="00D84215">
        <w:rPr>
          <w:i/>
        </w:rPr>
        <w:t xml:space="preserve">a </w:t>
      </w:r>
      <w:proofErr w:type="spellStart"/>
      <w:r w:rsidR="0025643F" w:rsidRPr="00D84215">
        <w:rPr>
          <w:i/>
        </w:rPr>
        <w:t>little</w:t>
      </w:r>
      <w:proofErr w:type="spellEnd"/>
      <w:r w:rsidR="0025643F" w:rsidRPr="00D84215">
        <w:rPr>
          <w:i/>
        </w:rPr>
        <w:t xml:space="preserve"> </w:t>
      </w:r>
      <w:proofErr w:type="spellStart"/>
      <w:r w:rsidR="0025643F" w:rsidRPr="00D84215">
        <w:rPr>
          <w:i/>
        </w:rPr>
        <w:t>lopsided</w:t>
      </w:r>
      <w:proofErr w:type="spellEnd"/>
      <w:r w:rsidR="0025643F">
        <w:t> »), révélant peut-être « </w:t>
      </w:r>
      <w:r w:rsidR="0025643F" w:rsidRPr="00AE6863">
        <w:rPr>
          <w:i/>
        </w:rPr>
        <w:t xml:space="preserve">a grain of </w:t>
      </w:r>
      <w:proofErr w:type="spellStart"/>
      <w:r w:rsidR="0025643F" w:rsidRPr="00AE6863">
        <w:rPr>
          <w:i/>
        </w:rPr>
        <w:t>truth</w:t>
      </w:r>
      <w:proofErr w:type="spellEnd"/>
      <w:r w:rsidR="0025643F" w:rsidRPr="00AE6863">
        <w:rPr>
          <w:i/>
        </w:rPr>
        <w:t xml:space="preserve"> </w:t>
      </w:r>
      <w:proofErr w:type="spellStart"/>
      <w:r w:rsidR="0025643F" w:rsidRPr="00AE6863">
        <w:rPr>
          <w:i/>
        </w:rPr>
        <w:t>that</w:t>
      </w:r>
      <w:proofErr w:type="spellEnd"/>
      <w:r w:rsidR="0025643F" w:rsidRPr="00AE6863">
        <w:rPr>
          <w:i/>
        </w:rPr>
        <w:t xml:space="preserve"> custom has </w:t>
      </w:r>
      <w:proofErr w:type="spellStart"/>
      <w:r w:rsidR="0025643F" w:rsidRPr="00AE6863">
        <w:rPr>
          <w:i/>
        </w:rPr>
        <w:t>overlaid</w:t>
      </w:r>
      <w:proofErr w:type="spellEnd"/>
      <w:r w:rsidR="0025643F">
        <w:t> » (Maurois sur Shelley et Disraeli)</w:t>
      </w:r>
      <w:r w:rsidR="0025643F">
        <w:rPr>
          <w:rStyle w:val="Marquedenotedefin"/>
        </w:rPr>
        <w:endnoteReference w:id="6"/>
      </w:r>
      <w:r w:rsidR="0025643F">
        <w:t xml:space="preserve">. Nous pourrons nous intéresser à l’activité de la lecture française telle qu’elle est tracée dans « Phases of Fiction », où </w:t>
      </w:r>
      <w:r w:rsidR="0025643F" w:rsidRPr="00030CC3">
        <w:t>épous</w:t>
      </w:r>
      <w:r w:rsidR="0025643F">
        <w:t>ant</w:t>
      </w:r>
      <w:r w:rsidR="0025643F" w:rsidRPr="00030CC3">
        <w:t xml:space="preserve"> un m</w:t>
      </w:r>
      <w:r w:rsidR="0025643F">
        <w:t xml:space="preserve">onde en cours de </w:t>
      </w:r>
      <w:r w:rsidR="0025643F" w:rsidRPr="00190299">
        <w:t>création, Woolf reçoit</w:t>
      </w:r>
      <w:r w:rsidR="0025643F" w:rsidRPr="00940284">
        <w:t xml:space="preserve"> comme « un coup de fouet » (« </w:t>
      </w:r>
      <w:proofErr w:type="spellStart"/>
      <w:r w:rsidR="0025643F" w:rsidRPr="00347596">
        <w:rPr>
          <w:i/>
        </w:rPr>
        <w:t>that</w:t>
      </w:r>
      <w:proofErr w:type="spellEnd"/>
      <w:r w:rsidR="0025643F" w:rsidRPr="00347596">
        <w:rPr>
          <w:i/>
        </w:rPr>
        <w:t xml:space="preserve"> </w:t>
      </w:r>
      <w:proofErr w:type="spellStart"/>
      <w:r w:rsidR="0025643F" w:rsidRPr="00347596">
        <w:rPr>
          <w:i/>
        </w:rPr>
        <w:t>little</w:t>
      </w:r>
      <w:proofErr w:type="spellEnd"/>
      <w:r w:rsidR="0025643F" w:rsidRPr="00347596">
        <w:rPr>
          <w:i/>
        </w:rPr>
        <w:t xml:space="preserve"> </w:t>
      </w:r>
      <w:proofErr w:type="spellStart"/>
      <w:r w:rsidR="0025643F" w:rsidRPr="00347596">
        <w:rPr>
          <w:i/>
        </w:rPr>
        <w:t>fillip</w:t>
      </w:r>
      <w:proofErr w:type="spellEnd"/>
      <w:r w:rsidR="0025643F" w:rsidRPr="00347596">
        <w:rPr>
          <w:i/>
        </w:rPr>
        <w:t> </w:t>
      </w:r>
      <w:r w:rsidR="0025643F" w:rsidRPr="00940284">
        <w:t xml:space="preserve">») face à la prose </w:t>
      </w:r>
      <w:r w:rsidR="0025643F">
        <w:t>« </w:t>
      </w:r>
      <w:r w:rsidR="0025643F" w:rsidRPr="00940284">
        <w:t>non encore émoussée</w:t>
      </w:r>
      <w:r w:rsidR="0025643F">
        <w:t> »</w:t>
      </w:r>
      <w:r w:rsidR="0025643F" w:rsidRPr="00940284">
        <w:t xml:space="preserve"> de Maupassant, « </w:t>
      </w:r>
      <w:proofErr w:type="spellStart"/>
      <w:r w:rsidR="0025643F" w:rsidRPr="00940284">
        <w:rPr>
          <w:i/>
        </w:rPr>
        <w:t>reading</w:t>
      </w:r>
      <w:proofErr w:type="spellEnd"/>
      <w:r w:rsidR="0025643F" w:rsidRPr="00D84215">
        <w:rPr>
          <w:i/>
        </w:rPr>
        <w:t xml:space="preserve"> a </w:t>
      </w:r>
      <w:proofErr w:type="spellStart"/>
      <w:r w:rsidR="0025643F" w:rsidRPr="00D84215">
        <w:rPr>
          <w:i/>
        </w:rPr>
        <w:t>language</w:t>
      </w:r>
      <w:proofErr w:type="spellEnd"/>
      <w:r w:rsidR="0025643F" w:rsidRPr="00D84215">
        <w:rPr>
          <w:i/>
        </w:rPr>
        <w:t xml:space="preserve"> </w:t>
      </w:r>
      <w:proofErr w:type="spellStart"/>
      <w:r w:rsidR="0025643F" w:rsidRPr="00D84215">
        <w:rPr>
          <w:i/>
        </w:rPr>
        <w:t>whose</w:t>
      </w:r>
      <w:proofErr w:type="spellEnd"/>
      <w:r w:rsidR="0025643F" w:rsidRPr="00D84215">
        <w:rPr>
          <w:i/>
        </w:rPr>
        <w:t xml:space="preserve"> </w:t>
      </w:r>
      <w:proofErr w:type="spellStart"/>
      <w:r w:rsidR="0025643F" w:rsidRPr="00D84215">
        <w:rPr>
          <w:i/>
        </w:rPr>
        <w:t>edges</w:t>
      </w:r>
      <w:proofErr w:type="spellEnd"/>
      <w:r w:rsidR="0025643F" w:rsidRPr="00D84215">
        <w:rPr>
          <w:i/>
        </w:rPr>
        <w:t xml:space="preserve"> have not been </w:t>
      </w:r>
      <w:proofErr w:type="spellStart"/>
      <w:r w:rsidR="0025643F" w:rsidRPr="00D84215">
        <w:rPr>
          <w:i/>
        </w:rPr>
        <w:t>smoothed</w:t>
      </w:r>
      <w:proofErr w:type="spellEnd"/>
      <w:r w:rsidR="0025643F" w:rsidRPr="00D84215">
        <w:rPr>
          <w:i/>
        </w:rPr>
        <w:t xml:space="preserve"> for us by </w:t>
      </w:r>
      <w:proofErr w:type="spellStart"/>
      <w:r w:rsidR="0025643F" w:rsidRPr="00D84215">
        <w:rPr>
          <w:i/>
        </w:rPr>
        <w:t>daily</w:t>
      </w:r>
      <w:proofErr w:type="spellEnd"/>
      <w:r w:rsidR="0025643F" w:rsidRPr="00D84215">
        <w:rPr>
          <w:i/>
        </w:rPr>
        <w:t xml:space="preserve"> use </w:t>
      </w:r>
      <w:r w:rsidR="0025643F">
        <w:t>», ou est arrêtée par la « pause » proustienne, cette brèche dans la conscience qui fait chavirer le réel et l’expérience de notre lecture</w:t>
      </w:r>
      <w:r w:rsidR="0025643F">
        <w:rPr>
          <w:rStyle w:val="Marquedenotedefin"/>
        </w:rPr>
        <w:endnoteReference w:id="7"/>
      </w:r>
      <w:r w:rsidR="0025643F">
        <w:t>.</w:t>
      </w:r>
      <w:r w:rsidR="00D309C6">
        <w:t xml:space="preserve"> </w:t>
      </w:r>
      <w:r w:rsidR="00A67137">
        <w:t xml:space="preserve">Nous pourrons </w:t>
      </w:r>
      <w:r w:rsidR="00FB7EB4">
        <w:t xml:space="preserve">à ce titre considérer </w:t>
      </w:r>
      <w:r w:rsidR="00B52D84">
        <w:t>l’effet</w:t>
      </w:r>
      <w:r>
        <w:t xml:space="preserve"> </w:t>
      </w:r>
      <w:r w:rsidR="00B52D84">
        <w:t xml:space="preserve">Proust, </w:t>
      </w:r>
      <w:r>
        <w:t xml:space="preserve">dont </w:t>
      </w:r>
      <w:r w:rsidR="00B52D84">
        <w:t>l’univers d’écriture</w:t>
      </w:r>
      <w:r w:rsidR="00427417">
        <w:t xml:space="preserve">, </w:t>
      </w:r>
      <w:r w:rsidR="00B52D84">
        <w:t>« </w:t>
      </w:r>
      <w:proofErr w:type="spellStart"/>
      <w:r w:rsidR="00B52D84" w:rsidRPr="00D84215">
        <w:rPr>
          <w:i/>
        </w:rPr>
        <w:t>so</w:t>
      </w:r>
      <w:proofErr w:type="spellEnd"/>
      <w:r w:rsidR="00B52D84" w:rsidRPr="00D84215">
        <w:rPr>
          <w:i/>
        </w:rPr>
        <w:t xml:space="preserve"> </w:t>
      </w:r>
      <w:proofErr w:type="spellStart"/>
      <w:r w:rsidR="00B52D84" w:rsidRPr="00D84215">
        <w:rPr>
          <w:i/>
        </w:rPr>
        <w:t>porous</w:t>
      </w:r>
      <w:proofErr w:type="spellEnd"/>
      <w:r w:rsidR="00B52D84" w:rsidRPr="00D84215">
        <w:rPr>
          <w:i/>
        </w:rPr>
        <w:t xml:space="preserve">, </w:t>
      </w:r>
      <w:proofErr w:type="spellStart"/>
      <w:r w:rsidR="00B52D84" w:rsidRPr="00D84215">
        <w:rPr>
          <w:i/>
        </w:rPr>
        <w:t>so</w:t>
      </w:r>
      <w:proofErr w:type="spellEnd"/>
      <w:r w:rsidR="00B52D84" w:rsidRPr="00D84215">
        <w:rPr>
          <w:i/>
        </w:rPr>
        <w:t xml:space="preserve"> pliable, </w:t>
      </w:r>
      <w:proofErr w:type="spellStart"/>
      <w:r w:rsidR="00B52D84" w:rsidRPr="00D84215">
        <w:rPr>
          <w:i/>
        </w:rPr>
        <w:t>so</w:t>
      </w:r>
      <w:proofErr w:type="spellEnd"/>
      <w:r w:rsidR="00B52D84" w:rsidRPr="00D84215">
        <w:rPr>
          <w:i/>
        </w:rPr>
        <w:t xml:space="preserve"> </w:t>
      </w:r>
      <w:proofErr w:type="spellStart"/>
      <w:r w:rsidR="00B52D84" w:rsidRPr="00D84215">
        <w:rPr>
          <w:i/>
        </w:rPr>
        <w:t>perfectly</w:t>
      </w:r>
      <w:proofErr w:type="spellEnd"/>
      <w:r w:rsidR="00B52D84" w:rsidRPr="00D84215">
        <w:rPr>
          <w:i/>
        </w:rPr>
        <w:t xml:space="preserve"> </w:t>
      </w:r>
      <w:proofErr w:type="spellStart"/>
      <w:r w:rsidR="00B52D84" w:rsidRPr="00D84215">
        <w:rPr>
          <w:i/>
        </w:rPr>
        <w:t>receptive</w:t>
      </w:r>
      <w:proofErr w:type="spellEnd"/>
      <w:r w:rsidR="00B52D84" w:rsidRPr="00D84215">
        <w:rPr>
          <w:i/>
        </w:rPr>
        <w:t xml:space="preserve"> – an </w:t>
      </w:r>
      <w:proofErr w:type="spellStart"/>
      <w:r w:rsidR="00B52D84" w:rsidRPr="00D84215">
        <w:rPr>
          <w:i/>
        </w:rPr>
        <w:t>envelope</w:t>
      </w:r>
      <w:proofErr w:type="spellEnd"/>
      <w:r w:rsidR="00B52D84" w:rsidRPr="00D84215">
        <w:rPr>
          <w:i/>
        </w:rPr>
        <w:t> </w:t>
      </w:r>
      <w:r w:rsidR="00B52D84">
        <w:t>»</w:t>
      </w:r>
      <w:r w:rsidR="00427417">
        <w:t>,</w:t>
      </w:r>
      <w:r w:rsidR="00B52D84">
        <w:t xml:space="preserve"> lui semble être un globe </w:t>
      </w:r>
      <w:r w:rsidR="006B7FC7">
        <w:t>tantôt lumineu</w:t>
      </w:r>
      <w:r w:rsidR="00C23229">
        <w:t>x</w:t>
      </w:r>
      <w:r w:rsidR="00D309C6">
        <w:t>, tantôt ombreu</w:t>
      </w:r>
      <w:r w:rsidR="00C23229">
        <w:t>x</w:t>
      </w:r>
      <w:r w:rsidR="00D309C6">
        <w:t>,</w:t>
      </w:r>
      <w:r w:rsidR="00EC3307">
        <w:t xml:space="preserve"> </w:t>
      </w:r>
      <w:r w:rsidR="008643C5">
        <w:t xml:space="preserve">se dérobant à toute visibilité totalitaire, </w:t>
      </w:r>
      <w:r w:rsidR="00927C2C">
        <w:t xml:space="preserve">pour </w:t>
      </w:r>
      <w:r>
        <w:t>interroge</w:t>
      </w:r>
      <w:r w:rsidR="00F12817">
        <w:t>r</w:t>
      </w:r>
      <w:r>
        <w:t xml:space="preserve"> </w:t>
      </w:r>
      <w:r w:rsidR="00D309C6">
        <w:t xml:space="preserve">l’empreinte que laisse </w:t>
      </w:r>
      <w:r>
        <w:t xml:space="preserve">cette </w:t>
      </w:r>
      <w:r w:rsidR="00D309C6">
        <w:t xml:space="preserve">porosité proustienne </w:t>
      </w:r>
      <w:r w:rsidR="004A43F4">
        <w:t>dans l’</w:t>
      </w:r>
      <w:r w:rsidR="00D309C6">
        <w:t>écriture</w:t>
      </w:r>
      <w:r w:rsidR="004A43F4">
        <w:t xml:space="preserve"> woolfienne</w:t>
      </w:r>
      <w:r w:rsidR="00F67078">
        <w:t>,</w:t>
      </w:r>
      <w:r w:rsidR="008643C5">
        <w:t xml:space="preserve"> </w:t>
      </w:r>
      <w:r>
        <w:t>e</w:t>
      </w:r>
      <w:r w:rsidR="00F12817">
        <w:t>n</w:t>
      </w:r>
      <w:r>
        <w:t xml:space="preserve"> réfléchi</w:t>
      </w:r>
      <w:r w:rsidR="00F12817">
        <w:t>ssant</w:t>
      </w:r>
      <w:r>
        <w:t xml:space="preserve"> </w:t>
      </w:r>
      <w:r w:rsidR="001830C0">
        <w:t xml:space="preserve">à l’hypothèse du </w:t>
      </w:r>
      <w:r w:rsidR="00B52D84">
        <w:t xml:space="preserve">tournant proustien de </w:t>
      </w:r>
      <w:r w:rsidR="00F67078">
        <w:t xml:space="preserve">ses </w:t>
      </w:r>
      <w:r w:rsidR="00B52D84">
        <w:t>romans</w:t>
      </w:r>
      <w:r w:rsidR="00D309C6">
        <w:t xml:space="preserve"> à partir de</w:t>
      </w:r>
      <w:r w:rsidR="00B52D84">
        <w:t xml:space="preserve"> </w:t>
      </w:r>
      <w:r w:rsidR="00232FEC">
        <w:t>1922</w:t>
      </w:r>
      <w:r w:rsidR="0025643F">
        <w:rPr>
          <w:rStyle w:val="Marquedenotedefin"/>
        </w:rPr>
        <w:endnoteReference w:id="8"/>
      </w:r>
      <w:r w:rsidR="0025643F">
        <w:t xml:space="preserve">, année qui voit la publication du premier volume de la traduction de Charles Scott </w:t>
      </w:r>
      <w:proofErr w:type="spellStart"/>
      <w:r w:rsidR="0025643F">
        <w:t>Moncrieff</w:t>
      </w:r>
      <w:proofErr w:type="spellEnd"/>
      <w:r w:rsidR="0025643F">
        <w:t xml:space="preserve">, </w:t>
      </w:r>
      <w:r w:rsidR="0025643F">
        <w:rPr>
          <w:i/>
        </w:rPr>
        <w:t xml:space="preserve">Remembrance of </w:t>
      </w:r>
      <w:proofErr w:type="spellStart"/>
      <w:r w:rsidR="0025643F">
        <w:rPr>
          <w:i/>
        </w:rPr>
        <w:t>Things</w:t>
      </w:r>
      <w:proofErr w:type="spellEnd"/>
      <w:r w:rsidR="0025643F">
        <w:rPr>
          <w:i/>
        </w:rPr>
        <w:t xml:space="preserve"> </w:t>
      </w:r>
      <w:proofErr w:type="spellStart"/>
      <w:r w:rsidR="0025643F">
        <w:rPr>
          <w:i/>
        </w:rPr>
        <w:t>Past</w:t>
      </w:r>
      <w:proofErr w:type="spellEnd"/>
      <w:r w:rsidR="0025643F">
        <w:rPr>
          <w:rStyle w:val="Marquedenotedefin"/>
        </w:rPr>
        <w:endnoteReference w:id="9"/>
      </w:r>
      <w:r w:rsidR="0025643F">
        <w:t>.</w:t>
      </w:r>
    </w:p>
    <w:p w14:paraId="38899395" w14:textId="77777777" w:rsidR="00E324B8" w:rsidRDefault="00E324B8" w:rsidP="00034636">
      <w:pPr>
        <w:jc w:val="both"/>
      </w:pPr>
    </w:p>
    <w:p w14:paraId="10EF87A2" w14:textId="06891618" w:rsidR="0025643F" w:rsidRPr="003E7A3C" w:rsidRDefault="0057408B" w:rsidP="00034636">
      <w:pPr>
        <w:jc w:val="both"/>
        <w:rPr>
          <w:rFonts w:ascii="Calibri" w:hAnsi="Calibri" w:cs="Calibri"/>
        </w:rPr>
      </w:pPr>
      <w:r w:rsidRPr="00190299">
        <w:lastRenderedPageBreak/>
        <w:t xml:space="preserve">Pensons </w:t>
      </w:r>
      <w:r w:rsidR="0066103E" w:rsidRPr="00190299">
        <w:t>également</w:t>
      </w:r>
      <w:r>
        <w:t xml:space="preserve"> </w:t>
      </w:r>
      <w:r w:rsidR="008643C5">
        <w:t xml:space="preserve">à la figuration </w:t>
      </w:r>
      <w:r w:rsidR="00940284">
        <w:t xml:space="preserve">de la littérature française </w:t>
      </w:r>
      <w:r w:rsidR="008643C5">
        <w:t>dans les romans</w:t>
      </w:r>
      <w:r w:rsidR="00F67078">
        <w:t xml:space="preserve"> </w:t>
      </w:r>
      <w:r>
        <w:t xml:space="preserve">de Woolf, </w:t>
      </w:r>
      <w:r w:rsidR="00F67078">
        <w:t xml:space="preserve">à la figure des lectrices, </w:t>
      </w:r>
      <w:r w:rsidR="008643C5">
        <w:t xml:space="preserve">telle </w:t>
      </w:r>
      <w:r w:rsidR="00DE3853">
        <w:t>Clarissa</w:t>
      </w:r>
      <w:r w:rsidR="00232FEC">
        <w:t xml:space="preserve"> </w:t>
      </w:r>
      <w:proofErr w:type="spellStart"/>
      <w:r w:rsidR="00232FEC">
        <w:t>Dalloway</w:t>
      </w:r>
      <w:proofErr w:type="spellEnd"/>
      <w:r w:rsidR="00232FEC">
        <w:t xml:space="preserve"> </w:t>
      </w:r>
      <w:r>
        <w:t>qui lit les mémoires de Marbot</w:t>
      </w:r>
      <w:r w:rsidR="0025643F">
        <w:rPr>
          <w:rStyle w:val="Marquedenotedefin"/>
        </w:rPr>
        <w:endnoteReference w:id="10"/>
      </w:r>
      <w:r w:rsidR="0025643F">
        <w:t xml:space="preserve"> </w:t>
      </w:r>
      <w:r w:rsidR="00C35C59" w:rsidRPr="00FD4B11">
        <w:t>sur la retraite d</w:t>
      </w:r>
      <w:r w:rsidR="00997461">
        <w:t>e Russie</w:t>
      </w:r>
      <w:r w:rsidR="00C35C59" w:rsidRPr="00FD4B11">
        <w:t xml:space="preserve"> </w:t>
      </w:r>
      <w:r w:rsidR="00D45C3A">
        <w:t xml:space="preserve">à contretemps, </w:t>
      </w:r>
      <w:r w:rsidR="00C35C59" w:rsidRPr="00FD4B11">
        <w:t xml:space="preserve">tard </w:t>
      </w:r>
      <w:r w:rsidR="00C35C59" w:rsidRPr="005336AE">
        <w:t>dans la nuit</w:t>
      </w:r>
      <w:r w:rsidR="00D45C3A" w:rsidRPr="005336AE">
        <w:t>,</w:t>
      </w:r>
      <w:r w:rsidR="001E152A" w:rsidRPr="005336AE">
        <w:t xml:space="preserve"> couchée </w:t>
      </w:r>
      <w:r w:rsidRPr="005336AE">
        <w:t>dans</w:t>
      </w:r>
      <w:r w:rsidR="00C35C59" w:rsidRPr="005336AE">
        <w:t xml:space="preserve"> sa mansarde, </w:t>
      </w:r>
      <w:r w:rsidR="008643C5" w:rsidRPr="005336AE">
        <w:t xml:space="preserve">ou </w:t>
      </w:r>
      <w:r w:rsidR="00FB4F40" w:rsidRPr="00151DD3">
        <w:t xml:space="preserve">Eleanor </w:t>
      </w:r>
      <w:r w:rsidR="00C35C59" w:rsidRPr="00151DD3">
        <w:t xml:space="preserve">dans </w:t>
      </w:r>
      <w:r w:rsidR="00C35C59" w:rsidRPr="00151DD3">
        <w:rPr>
          <w:i/>
        </w:rPr>
        <w:t xml:space="preserve">The </w:t>
      </w:r>
      <w:proofErr w:type="spellStart"/>
      <w:r w:rsidR="00C35C59" w:rsidRPr="00151DD3">
        <w:rPr>
          <w:i/>
        </w:rPr>
        <w:t>Years</w:t>
      </w:r>
      <w:proofErr w:type="spellEnd"/>
      <w:r w:rsidR="00C35C59" w:rsidRPr="00151DD3">
        <w:t xml:space="preserve">, qui lit </w:t>
      </w:r>
      <w:r w:rsidR="00E324B8" w:rsidRPr="00151DD3">
        <w:t>Renan</w:t>
      </w:r>
      <w:r w:rsidR="0025643F" w:rsidRPr="00151DD3">
        <w:rPr>
          <w:rStyle w:val="Marquedenotedefin"/>
        </w:rPr>
        <w:endnoteReference w:id="11"/>
      </w:r>
      <w:r w:rsidR="0025643F" w:rsidRPr="00151DD3">
        <w:t xml:space="preserve"> en français, comme Woolf elle-même qui cite sa vie de Saint Paul en français dans </w:t>
      </w:r>
      <w:proofErr w:type="spellStart"/>
      <w:r w:rsidR="0025643F" w:rsidRPr="00151DD3">
        <w:rPr>
          <w:i/>
        </w:rPr>
        <w:t>Three</w:t>
      </w:r>
      <w:proofErr w:type="spellEnd"/>
      <w:r w:rsidR="0025643F" w:rsidRPr="00151DD3">
        <w:rPr>
          <w:i/>
        </w:rPr>
        <w:t xml:space="preserve"> </w:t>
      </w:r>
      <w:proofErr w:type="spellStart"/>
      <w:r w:rsidR="0025643F" w:rsidRPr="00151DD3">
        <w:rPr>
          <w:i/>
        </w:rPr>
        <w:t>Guineas</w:t>
      </w:r>
      <w:proofErr w:type="spellEnd"/>
      <w:r w:rsidR="0025643F" w:rsidRPr="00151DD3">
        <w:rPr>
          <w:rStyle w:val="Marquedenotedefin"/>
        </w:rPr>
        <w:endnoteReference w:id="12"/>
      </w:r>
      <w:r w:rsidR="0025643F" w:rsidRPr="00B6559A">
        <w:t>,</w:t>
      </w:r>
      <w:r w:rsidR="0025643F" w:rsidRPr="00151DD3">
        <w:t xml:space="preserve"> Fanny dans </w:t>
      </w:r>
      <w:proofErr w:type="spellStart"/>
      <w:r w:rsidR="0025643F" w:rsidRPr="00151DD3">
        <w:rPr>
          <w:i/>
        </w:rPr>
        <w:t>Jacob’s</w:t>
      </w:r>
      <w:proofErr w:type="spellEnd"/>
      <w:r w:rsidR="0025643F" w:rsidRPr="00151DD3">
        <w:rPr>
          <w:i/>
        </w:rPr>
        <w:t xml:space="preserve"> Room</w:t>
      </w:r>
      <w:r w:rsidR="00227BB0">
        <w:t>,</w:t>
      </w:r>
      <w:r w:rsidR="0025643F" w:rsidRPr="00151DD3">
        <w:t xml:space="preserve"> qui lit Dumas</w:t>
      </w:r>
      <w:r w:rsidR="00227BB0">
        <w:t>,</w:t>
      </w:r>
      <w:r w:rsidR="0025643F" w:rsidRPr="00151DD3">
        <w:rPr>
          <w:i/>
        </w:rPr>
        <w:t xml:space="preserve"> </w:t>
      </w:r>
      <w:r w:rsidR="0025643F" w:rsidRPr="00151DD3">
        <w:t>e</w:t>
      </w:r>
      <w:r w:rsidR="0025643F">
        <w:t>t</w:t>
      </w:r>
      <w:r w:rsidR="0025643F" w:rsidRPr="00151DD3">
        <w:t xml:space="preserve"> Jacob, Pierre Lou</w:t>
      </w:r>
      <w:r w:rsidR="0025643F">
        <w:t>ÿ</w:t>
      </w:r>
      <w:r w:rsidR="0025643F" w:rsidRPr="00151DD3">
        <w:t>s</w:t>
      </w:r>
      <w:r w:rsidR="0025643F" w:rsidRPr="00151DD3">
        <w:rPr>
          <w:rStyle w:val="Marquedenotedefin"/>
        </w:rPr>
        <w:endnoteReference w:id="13"/>
      </w:r>
      <w:r w:rsidR="0025643F">
        <w:t xml:space="preserve">. </w:t>
      </w:r>
      <w:r w:rsidR="0025643F" w:rsidRPr="00151DD3">
        <w:t>Comment relire ces figures de lectrices au prisme de leurs lectures françaises ? Quelle configuration dialectique peut en émerger dans notre lecture ? Quel renversement des perspectives </w:t>
      </w:r>
      <w:r w:rsidR="0025643F" w:rsidRPr="00151DD3">
        <w:rPr>
          <w:rStyle w:val="Marquedenotedefin"/>
        </w:rPr>
        <w:endnoteReference w:id="14"/>
      </w:r>
      <w:r w:rsidR="0025643F" w:rsidRPr="00151DD3">
        <w:t xml:space="preserve">? En contrepoint, pensons au dernier chapitre de </w:t>
      </w:r>
      <w:proofErr w:type="spellStart"/>
      <w:r w:rsidR="0025643F" w:rsidRPr="00151DD3">
        <w:rPr>
          <w:i/>
        </w:rPr>
        <w:t>Between</w:t>
      </w:r>
      <w:proofErr w:type="spellEnd"/>
      <w:r w:rsidR="0025643F" w:rsidRPr="00151DD3">
        <w:rPr>
          <w:i/>
        </w:rPr>
        <w:t xml:space="preserve"> the </w:t>
      </w:r>
      <w:proofErr w:type="spellStart"/>
      <w:r w:rsidR="0025643F" w:rsidRPr="00151DD3">
        <w:rPr>
          <w:i/>
        </w:rPr>
        <w:t>Acts</w:t>
      </w:r>
      <w:proofErr w:type="spellEnd"/>
      <w:r w:rsidR="0025643F" w:rsidRPr="00151DD3">
        <w:t xml:space="preserve">, où </w:t>
      </w:r>
      <w:proofErr w:type="spellStart"/>
      <w:r w:rsidR="0025643F" w:rsidRPr="00151DD3">
        <w:t>Dodge</w:t>
      </w:r>
      <w:proofErr w:type="spellEnd"/>
      <w:r w:rsidR="0025643F" w:rsidRPr="00151DD3">
        <w:t xml:space="preserve"> semble citer </w:t>
      </w:r>
      <w:r w:rsidR="0025643F" w:rsidRPr="00151DD3">
        <w:rPr>
          <w:i/>
        </w:rPr>
        <w:t xml:space="preserve">Phèdre </w:t>
      </w:r>
      <w:r w:rsidR="0025643F" w:rsidRPr="00151DD3">
        <w:t>en traduction</w:t>
      </w:r>
      <w:r w:rsidR="0025643F" w:rsidRPr="00151DD3">
        <w:rPr>
          <w:rStyle w:val="Marquedenotedefin"/>
        </w:rPr>
        <w:endnoteReference w:id="15"/>
      </w:r>
      <w:r w:rsidR="0025643F" w:rsidRPr="00151DD3">
        <w:t>.</w:t>
      </w:r>
    </w:p>
    <w:p w14:paraId="503316C9" w14:textId="77777777" w:rsidR="0025643F" w:rsidRDefault="0025643F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14:paraId="5370DDC7" w14:textId="77777777" w:rsidR="00E441F7" w:rsidRDefault="0025643F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1DD3">
        <w:t xml:space="preserve">Tournons-nous également vers la constellation des lectures françaises de Woolf en </w:t>
      </w:r>
      <w:r>
        <w:t xml:space="preserve">lien avec </w:t>
      </w:r>
      <w:r w:rsidRPr="00151DD3">
        <w:t>sa réception en France, au prisme des traductions françaises déterminantes, telle celle de « Time Passes » par Charles Mauron</w:t>
      </w:r>
      <w:r>
        <w:t>,</w:t>
      </w:r>
      <w:r w:rsidRPr="00151DD3">
        <w:t xml:space="preserve"> en 1926</w:t>
      </w:r>
      <w:r>
        <w:t xml:space="preserve">, </w:t>
      </w:r>
      <w:r w:rsidRPr="00151DD3">
        <w:t xml:space="preserve">avant que </w:t>
      </w:r>
      <w:r w:rsidRPr="00151DD3">
        <w:rPr>
          <w:i/>
        </w:rPr>
        <w:t xml:space="preserve">To the </w:t>
      </w:r>
      <w:proofErr w:type="spellStart"/>
      <w:r w:rsidRPr="00151DD3">
        <w:rPr>
          <w:i/>
        </w:rPr>
        <w:t>Lighthouse</w:t>
      </w:r>
      <w:proofErr w:type="spellEnd"/>
      <w:r w:rsidRPr="00151DD3">
        <w:rPr>
          <w:i/>
        </w:rPr>
        <w:t xml:space="preserve"> </w:t>
      </w:r>
      <w:r w:rsidRPr="00151DD3">
        <w:t>ne soit publié et son influence sur la révision du texte</w:t>
      </w:r>
      <w:r w:rsidRPr="00151DD3">
        <w:rPr>
          <w:rStyle w:val="Marquedenotedefin"/>
        </w:rPr>
        <w:endnoteReference w:id="16"/>
      </w:r>
      <w:r w:rsidRPr="00151DD3">
        <w:t>, comme aux traductions suivantes de Mauron et l</w:t>
      </w:r>
      <w:r>
        <w:t xml:space="preserve">’influence qu’a pu avoir la lecture de Woolf sur </w:t>
      </w:r>
      <w:r w:rsidRPr="00151DD3">
        <w:t xml:space="preserve">sa pensée </w:t>
      </w:r>
      <w:r>
        <w:t>de</w:t>
      </w:r>
      <w:r w:rsidRPr="00151DD3">
        <w:t xml:space="preserve"> l’inconscient et la métaphore du mythe personnel</w:t>
      </w:r>
      <w:r w:rsidRPr="00151DD3">
        <w:rPr>
          <w:rStyle w:val="Marquedenotedefin"/>
        </w:rPr>
        <w:endnoteReference w:id="17"/>
      </w:r>
      <w:r w:rsidRPr="00151DD3">
        <w:t xml:space="preserve">. Dès ce moment, suivi par la première traduction de </w:t>
      </w:r>
      <w:r w:rsidRPr="00151DD3">
        <w:rPr>
          <w:i/>
        </w:rPr>
        <w:t xml:space="preserve">The </w:t>
      </w:r>
      <w:proofErr w:type="spellStart"/>
      <w:r w:rsidRPr="00151DD3">
        <w:rPr>
          <w:i/>
        </w:rPr>
        <w:t>Waves</w:t>
      </w:r>
      <w:proofErr w:type="spellEnd"/>
      <w:r w:rsidRPr="00151DD3">
        <w:rPr>
          <w:i/>
        </w:rPr>
        <w:t xml:space="preserve"> </w:t>
      </w:r>
      <w:r w:rsidRPr="00151DD3">
        <w:t>par Yourcenar en 1936</w:t>
      </w:r>
      <w:r w:rsidRPr="00151DD3">
        <w:rPr>
          <w:rStyle w:val="Marquedenotedefin"/>
        </w:rPr>
        <w:endnoteReference w:id="18"/>
      </w:r>
      <w:r w:rsidRPr="00151DD3">
        <w:t>, se tisse une histoire de la réception de Woolf à l’aune des traductions, comme des traductions au prisme de sa réception</w:t>
      </w:r>
      <w:r w:rsidRPr="00151DD3">
        <w:rPr>
          <w:rStyle w:val="Marquedenotedefin"/>
        </w:rPr>
        <w:endnoteReference w:id="19"/>
      </w:r>
      <w:r w:rsidRPr="00151DD3">
        <w:t xml:space="preserve">, qui s’étend à l’aventure de la Pléiade, menée par Jacques Aubert (2012), aux nouvelles traductions du </w:t>
      </w:r>
      <w:r w:rsidR="00227BB0">
        <w:t>XXI</w:t>
      </w:r>
      <w:r w:rsidR="00227BB0" w:rsidRPr="00151DD3">
        <w:rPr>
          <w:vertAlign w:val="superscript"/>
        </w:rPr>
        <w:t>e</w:t>
      </w:r>
      <w:r w:rsidRPr="00151DD3">
        <w:t xml:space="preserve"> siècle par Michel </w:t>
      </w:r>
      <w:proofErr w:type="spellStart"/>
      <w:r w:rsidRPr="00151DD3">
        <w:t>Cusin</w:t>
      </w:r>
      <w:proofErr w:type="spellEnd"/>
      <w:r w:rsidRPr="00151DD3">
        <w:t xml:space="preserve">, Adolphe Haberer, Cécile </w:t>
      </w:r>
      <w:proofErr w:type="spellStart"/>
      <w:r w:rsidRPr="00151DD3">
        <w:t>Wajsbrot</w:t>
      </w:r>
      <w:proofErr w:type="spellEnd"/>
      <w:r w:rsidRPr="00151DD3">
        <w:t xml:space="preserve">, Agnès </w:t>
      </w:r>
      <w:proofErr w:type="spellStart"/>
      <w:r w:rsidRPr="00151DD3">
        <w:t>Desarthe</w:t>
      </w:r>
      <w:proofErr w:type="spellEnd"/>
      <w:r w:rsidRPr="00151DD3">
        <w:t xml:space="preserve">, Catherine Bernard, entre autres. Aussi l’intrication entre l’activité du traduire et l’engendrement de nouvelles lectures </w:t>
      </w:r>
      <w:r w:rsidR="00190299">
        <w:t xml:space="preserve">élaborées au prisme de la traduction </w:t>
      </w:r>
      <w:r w:rsidRPr="00151DD3">
        <w:t>peut-elle</w:t>
      </w:r>
      <w:r w:rsidR="00190299">
        <w:t xml:space="preserve"> </w:t>
      </w:r>
      <w:r w:rsidRPr="00151DD3">
        <w:t>nous</w:t>
      </w:r>
      <w:r w:rsidR="00190299">
        <w:t xml:space="preserve"> </w:t>
      </w:r>
      <w:r w:rsidRPr="00151DD3">
        <w:t>intéresser</w:t>
      </w:r>
      <w:r w:rsidRPr="005336AE">
        <w:rPr>
          <w:rStyle w:val="Marquedenotedefin"/>
        </w:rPr>
        <w:endnoteReference w:id="20"/>
      </w:r>
      <w:r w:rsidRPr="00151DD3">
        <w:t>.</w:t>
      </w:r>
    </w:p>
    <w:p w14:paraId="52FDFB0E" w14:textId="0C8720FF" w:rsidR="006F2776" w:rsidRDefault="006F2776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14:paraId="74952059" w14:textId="16E85AB5" w:rsidR="0025643F" w:rsidRPr="00151DD3" w:rsidRDefault="00C173E5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1DD3">
        <w:t>Il nous reviendra d</w:t>
      </w:r>
      <w:r w:rsidR="00DE3853" w:rsidRPr="00151DD3">
        <w:t xml:space="preserve">’explorer les </w:t>
      </w:r>
      <w:r w:rsidR="00170140" w:rsidRPr="00190299">
        <w:t>affinités</w:t>
      </w:r>
      <w:r w:rsidR="0032658D" w:rsidRPr="00190299">
        <w:t xml:space="preserve">, </w:t>
      </w:r>
      <w:r w:rsidR="00647198" w:rsidRPr="00190299">
        <w:t>ainsi que</w:t>
      </w:r>
      <w:r w:rsidR="0032658D" w:rsidRPr="00190299">
        <w:t xml:space="preserve"> </w:t>
      </w:r>
      <w:r w:rsidR="00DE3853" w:rsidRPr="00190299">
        <w:t>les</w:t>
      </w:r>
      <w:r w:rsidR="00DE3853" w:rsidRPr="00151DD3">
        <w:t xml:space="preserve"> </w:t>
      </w:r>
      <w:r w:rsidR="0032658D" w:rsidRPr="00151DD3">
        <w:t xml:space="preserve">différences </w:t>
      </w:r>
      <w:r w:rsidR="00170140" w:rsidRPr="00151DD3">
        <w:t>romanesque</w:t>
      </w:r>
      <w:r w:rsidR="00BB6618" w:rsidRPr="00151DD3">
        <w:t>s</w:t>
      </w:r>
      <w:r w:rsidR="00AE6863" w:rsidRPr="00151DD3">
        <w:t xml:space="preserve">, </w:t>
      </w:r>
      <w:r w:rsidR="001E152A" w:rsidRPr="00151DD3">
        <w:t>élégiaque</w:t>
      </w:r>
      <w:r w:rsidR="0032658D" w:rsidRPr="00151DD3">
        <w:t>s</w:t>
      </w:r>
      <w:r w:rsidR="00AE6863" w:rsidRPr="00151DD3">
        <w:t>,</w:t>
      </w:r>
      <w:r w:rsidR="0032658D" w:rsidRPr="00151DD3">
        <w:t xml:space="preserve"> </w:t>
      </w:r>
      <w:r w:rsidR="00AE6863" w:rsidRPr="00151DD3">
        <w:t xml:space="preserve">et féministes </w:t>
      </w:r>
      <w:r w:rsidR="00BB6618" w:rsidRPr="00151DD3">
        <w:t>des écrivaines françaises</w:t>
      </w:r>
      <w:r w:rsidR="00647198">
        <w:t xml:space="preserve"> </w:t>
      </w:r>
      <w:r w:rsidR="0032658D" w:rsidRPr="00151DD3">
        <w:t>d’</w:t>
      </w:r>
      <w:r w:rsidR="00BB6618" w:rsidRPr="00151DD3">
        <w:t xml:space="preserve">avec l’œuvre woolfienne au </w:t>
      </w:r>
      <w:r w:rsidR="00BB6618" w:rsidRPr="00190299">
        <w:t>fil d</w:t>
      </w:r>
      <w:r w:rsidR="00647198" w:rsidRPr="00190299">
        <w:t>es</w:t>
      </w:r>
      <w:r w:rsidR="00BB6618" w:rsidRPr="00151DD3">
        <w:t xml:space="preserve"> </w:t>
      </w:r>
      <w:r w:rsidR="00647198">
        <w:t>XX</w:t>
      </w:r>
      <w:r w:rsidR="00BB6618" w:rsidRPr="00151DD3">
        <w:rPr>
          <w:vertAlign w:val="superscript"/>
        </w:rPr>
        <w:t>e</w:t>
      </w:r>
      <w:r w:rsidR="00647198">
        <w:rPr>
          <w:vertAlign w:val="superscript"/>
        </w:rPr>
        <w:t xml:space="preserve"> </w:t>
      </w:r>
      <w:r w:rsidR="00647198">
        <w:t>et XXI</w:t>
      </w:r>
      <w:r w:rsidR="00BB6618" w:rsidRPr="00151DD3">
        <w:rPr>
          <w:vertAlign w:val="superscript"/>
        </w:rPr>
        <w:t>e</w:t>
      </w:r>
      <w:r w:rsidR="00BB6618" w:rsidRPr="00151DD3">
        <w:t xml:space="preserve"> siècle</w:t>
      </w:r>
      <w:r w:rsidR="00647198">
        <w:t>s</w:t>
      </w:r>
      <w:r w:rsidR="00A60FCA">
        <w:t> :</w:t>
      </w:r>
      <w:r w:rsidR="00170140" w:rsidRPr="00151DD3">
        <w:t xml:space="preserve"> </w:t>
      </w:r>
      <w:r w:rsidR="006F2776" w:rsidRPr="00151DD3">
        <w:t xml:space="preserve">Sarraute, </w:t>
      </w:r>
      <w:r w:rsidR="00FC1663" w:rsidRPr="00151DD3">
        <w:t xml:space="preserve">De Beauvoir, </w:t>
      </w:r>
      <w:r w:rsidR="006F2776" w:rsidRPr="00151DD3">
        <w:t xml:space="preserve">Duras, </w:t>
      </w:r>
      <w:r w:rsidR="00FC1663" w:rsidRPr="00151DD3">
        <w:t xml:space="preserve">Annie </w:t>
      </w:r>
      <w:proofErr w:type="spellStart"/>
      <w:r w:rsidR="006F2776" w:rsidRPr="00151DD3">
        <w:t>Ernaux</w:t>
      </w:r>
      <w:proofErr w:type="spellEnd"/>
      <w:r w:rsidR="0032658D" w:rsidRPr="00151DD3">
        <w:t>…</w:t>
      </w:r>
      <w:r w:rsidR="00170140" w:rsidRPr="00151DD3">
        <w:t xml:space="preserve">, </w:t>
      </w:r>
      <w:r w:rsidR="00FF6877" w:rsidRPr="00151DD3">
        <w:t xml:space="preserve">et </w:t>
      </w:r>
      <w:r w:rsidR="00170140" w:rsidRPr="00151DD3">
        <w:t xml:space="preserve">la question </w:t>
      </w:r>
      <w:r w:rsidR="00BB21D7" w:rsidRPr="00151DD3">
        <w:t xml:space="preserve">comparatiste </w:t>
      </w:r>
      <w:r w:rsidR="00170140" w:rsidRPr="00151DD3">
        <w:t>de traversées</w:t>
      </w:r>
      <w:r w:rsidR="00B5291E" w:rsidRPr="00151DD3">
        <w:t xml:space="preserve"> </w:t>
      </w:r>
      <w:r w:rsidR="00170140" w:rsidRPr="00151DD3">
        <w:t>intertextuelles</w:t>
      </w:r>
      <w:r w:rsidR="0032658D" w:rsidRPr="00151DD3">
        <w:t>, philosophiques</w:t>
      </w:r>
      <w:r w:rsidR="00AE6863" w:rsidRPr="00151DD3">
        <w:t xml:space="preserve"> </w:t>
      </w:r>
      <w:r w:rsidR="00170140" w:rsidRPr="00151DD3">
        <w:t>entre langues et mémoires</w:t>
      </w:r>
      <w:r w:rsidR="00170140" w:rsidRPr="00190299">
        <w:t xml:space="preserve">. </w:t>
      </w:r>
      <w:r w:rsidR="00647198" w:rsidRPr="00190299">
        <w:t>Nous</w:t>
      </w:r>
      <w:r w:rsidR="0032658D" w:rsidRPr="00190299">
        <w:t xml:space="preserve"> pourr</w:t>
      </w:r>
      <w:r w:rsidR="00647198" w:rsidRPr="00190299">
        <w:t>ons</w:t>
      </w:r>
      <w:r w:rsidR="0032658D" w:rsidRPr="00190299">
        <w:t xml:space="preserve"> </w:t>
      </w:r>
      <w:r w:rsidRPr="00190299">
        <w:t>penser</w:t>
      </w:r>
      <w:r w:rsidR="00647198">
        <w:t>,</w:t>
      </w:r>
      <w:r w:rsidRPr="00151DD3">
        <w:t xml:space="preserve"> </w:t>
      </w:r>
      <w:r w:rsidR="0032658D" w:rsidRPr="00151DD3">
        <w:t>dans ce sillage</w:t>
      </w:r>
      <w:r w:rsidR="00647198">
        <w:t>,</w:t>
      </w:r>
      <w:r w:rsidR="0032658D" w:rsidRPr="00151DD3">
        <w:t xml:space="preserve"> </w:t>
      </w:r>
      <w:r w:rsidRPr="00151DD3">
        <w:t xml:space="preserve">à </w:t>
      </w:r>
      <w:r w:rsidR="0032658D" w:rsidRPr="00151DD3">
        <w:t xml:space="preserve">l’empreinte de Woolf sur le féminisme littéraire en France, </w:t>
      </w:r>
      <w:r w:rsidRPr="00151DD3">
        <w:t xml:space="preserve">aux </w:t>
      </w:r>
      <w:r w:rsidR="0032658D" w:rsidRPr="00151DD3">
        <w:t xml:space="preserve">essais de Viviane </w:t>
      </w:r>
      <w:proofErr w:type="spellStart"/>
      <w:r w:rsidR="0032658D" w:rsidRPr="00151DD3">
        <w:t>Forrester</w:t>
      </w:r>
      <w:proofErr w:type="spellEnd"/>
      <w:r w:rsidR="0032658D" w:rsidRPr="00151DD3">
        <w:t xml:space="preserve">, Geneviève </w:t>
      </w:r>
      <w:proofErr w:type="spellStart"/>
      <w:r w:rsidR="0032658D" w:rsidRPr="00151DD3">
        <w:t>Brisac</w:t>
      </w:r>
      <w:proofErr w:type="spellEnd"/>
      <w:r w:rsidR="0032658D" w:rsidRPr="00151DD3">
        <w:t xml:space="preserve"> et Agnès </w:t>
      </w:r>
      <w:proofErr w:type="spellStart"/>
      <w:r w:rsidR="0032658D" w:rsidRPr="00151DD3">
        <w:t>Desarthe</w:t>
      </w:r>
      <w:proofErr w:type="spellEnd"/>
      <w:r w:rsidR="0032658D" w:rsidRPr="00151DD3">
        <w:t xml:space="preserve">, Virginie </w:t>
      </w:r>
      <w:proofErr w:type="spellStart"/>
      <w:r w:rsidR="0032658D" w:rsidRPr="00151DD3">
        <w:t>Despentes</w:t>
      </w:r>
      <w:proofErr w:type="spellEnd"/>
      <w:r w:rsidR="0032658D" w:rsidRPr="00151DD3">
        <w:t xml:space="preserve">, </w:t>
      </w:r>
      <w:r w:rsidR="00DE3853" w:rsidRPr="00151DD3">
        <w:t xml:space="preserve">Paul B. </w:t>
      </w:r>
      <w:proofErr w:type="spellStart"/>
      <w:r w:rsidR="00DE3853" w:rsidRPr="00151DD3">
        <w:t>Preciado</w:t>
      </w:r>
      <w:proofErr w:type="spellEnd"/>
      <w:r w:rsidR="00DE3853" w:rsidRPr="00151DD3">
        <w:t xml:space="preserve">, </w:t>
      </w:r>
      <w:r w:rsidR="0032658D" w:rsidRPr="00151DD3">
        <w:t>comme à l’évolution contemporaine d</w:t>
      </w:r>
      <w:r w:rsidR="008C53E4" w:rsidRPr="00151DD3">
        <w:t>u</w:t>
      </w:r>
      <w:r w:rsidR="0032658D" w:rsidRPr="00151DD3">
        <w:t xml:space="preserve"> lire</w:t>
      </w:r>
      <w:r w:rsidRPr="00151DD3">
        <w:t xml:space="preserve">-écrire </w:t>
      </w:r>
      <w:r w:rsidR="0032658D" w:rsidRPr="00151DD3">
        <w:t>autrement avec Woolf</w:t>
      </w:r>
      <w:r w:rsidR="0025643F" w:rsidRPr="00151DD3">
        <w:rPr>
          <w:rStyle w:val="Marquedenotedefin"/>
        </w:rPr>
        <w:endnoteReference w:id="21"/>
      </w:r>
      <w:r w:rsidR="0025643F" w:rsidRPr="00151DD3">
        <w:t>.</w:t>
      </w:r>
    </w:p>
    <w:p w14:paraId="1806F57D" w14:textId="77777777" w:rsidR="0025643F" w:rsidRDefault="0025643F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14:paraId="1DF01B55" w14:textId="3F08C846" w:rsidR="0025643F" w:rsidRPr="00303D3E" w:rsidRDefault="0025643F" w:rsidP="0043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1DD3">
        <w:t>La</w:t>
      </w:r>
      <w:r>
        <w:t xml:space="preserve"> relation</w:t>
      </w:r>
      <w:r w:rsidRPr="00151DD3">
        <w:t xml:space="preserve"> entre l’écriture woolfienne et la pensée philosophique française pourra nous </w:t>
      </w:r>
      <w:r w:rsidRPr="00190299">
        <w:t>retenir, le</w:t>
      </w:r>
      <w:r w:rsidRPr="00151DD3">
        <w:t xml:space="preserve"> lien de contemporanéité avec Bergson, la résonance phénoménologique de l’écriture woolfienne</w:t>
      </w:r>
      <w:r w:rsidRPr="00151DD3">
        <w:rPr>
          <w:rStyle w:val="Marquedenotedefin"/>
        </w:rPr>
        <w:endnoteReference w:id="22"/>
      </w:r>
      <w:r w:rsidRPr="00151DD3">
        <w:t xml:space="preserve">, sa place dans la pensée de Deleuze, de </w:t>
      </w:r>
      <w:proofErr w:type="spellStart"/>
      <w:r w:rsidRPr="00151DD3">
        <w:t>Rancière</w:t>
      </w:r>
      <w:proofErr w:type="spellEnd"/>
      <w:r w:rsidRPr="00151DD3">
        <w:rPr>
          <w:rStyle w:val="Marquedenotedefin"/>
        </w:rPr>
        <w:endnoteReference w:id="23"/>
      </w:r>
      <w:r>
        <w:t>,</w:t>
      </w:r>
      <w:r w:rsidRPr="00151DD3">
        <w:t xml:space="preserve"> dans une pensée psychanalytique de la littérature</w:t>
      </w:r>
      <w:r w:rsidRPr="00151DD3">
        <w:rPr>
          <w:rStyle w:val="Marquedenotedefin"/>
        </w:rPr>
        <w:endnoteReference w:id="24"/>
      </w:r>
      <w:r w:rsidRPr="00151DD3">
        <w:t>, ou une pensée de l’image</w:t>
      </w:r>
      <w:r w:rsidRPr="00151DD3">
        <w:rPr>
          <w:rStyle w:val="Marquedenotedefin"/>
        </w:rPr>
        <w:endnoteReference w:id="25"/>
      </w:r>
      <w:r>
        <w:t>.</w:t>
      </w:r>
      <w:r w:rsidR="00432294">
        <w:t xml:space="preserve"> </w:t>
      </w:r>
      <w:r w:rsidR="00647198" w:rsidRPr="00190299">
        <w:t>Enfin</w:t>
      </w:r>
      <w:r w:rsidR="00873C5A" w:rsidRPr="00190299">
        <w:t>, d</w:t>
      </w:r>
      <w:r w:rsidR="00012732" w:rsidRPr="00190299">
        <w:t>ans</w:t>
      </w:r>
      <w:r w:rsidR="00012732">
        <w:t xml:space="preserve"> une ouverture </w:t>
      </w:r>
      <w:proofErr w:type="spellStart"/>
      <w:r w:rsidR="00012732">
        <w:t>int</w:t>
      </w:r>
      <w:r w:rsidR="00A67137">
        <w:t>e</w:t>
      </w:r>
      <w:r w:rsidR="00012732">
        <w:t>rmédiale</w:t>
      </w:r>
      <w:proofErr w:type="spellEnd"/>
      <w:r w:rsidR="00012732">
        <w:t xml:space="preserve"> et </w:t>
      </w:r>
      <w:proofErr w:type="spellStart"/>
      <w:r w:rsidR="00012732">
        <w:t>transgénérique</w:t>
      </w:r>
      <w:proofErr w:type="spellEnd"/>
      <w:r w:rsidR="00BE1F5F">
        <w:t>,</w:t>
      </w:r>
      <w:r w:rsidR="00012732">
        <w:t xml:space="preserve"> nous pourrons </w:t>
      </w:r>
      <w:r w:rsidR="00925586" w:rsidRPr="00303D3E">
        <w:t xml:space="preserve">envisager le terme </w:t>
      </w:r>
      <w:r w:rsidR="00925586">
        <w:t xml:space="preserve">« lecture française » </w:t>
      </w:r>
      <w:r w:rsidR="00925586" w:rsidRPr="00303D3E">
        <w:t xml:space="preserve">dans son </w:t>
      </w:r>
      <w:r w:rsidR="00E274AB">
        <w:t>acception</w:t>
      </w:r>
      <w:r w:rsidR="00E274AB" w:rsidRPr="00303D3E">
        <w:t xml:space="preserve"> </w:t>
      </w:r>
      <w:r w:rsidR="00925586" w:rsidRPr="00303D3E">
        <w:t>large d’interprétation</w:t>
      </w:r>
      <w:r w:rsidR="00925586">
        <w:t xml:space="preserve"> </w:t>
      </w:r>
      <w:r w:rsidR="00925586" w:rsidRPr="00303D3E">
        <w:t>littéraire, musicale, théâtrale, picturale ou cinématographique</w:t>
      </w:r>
      <w:r w:rsidR="00925586">
        <w:t xml:space="preserve">, en pensant </w:t>
      </w:r>
      <w:r w:rsidR="00873C5A">
        <w:t>à l’effet critique des</w:t>
      </w:r>
      <w:r w:rsidR="00925586">
        <w:t xml:space="preserve"> récentes adaptations en France de l’œuvre woolfienne </w:t>
      </w:r>
      <w:r w:rsidR="00E274AB">
        <w:t xml:space="preserve">dans </w:t>
      </w:r>
      <w:r w:rsidR="00925586">
        <w:t>d’autres genres, d’autres médias</w:t>
      </w:r>
      <w:r>
        <w:rPr>
          <w:rStyle w:val="Marquedenotedefin"/>
        </w:rPr>
        <w:endnoteReference w:id="26"/>
      </w:r>
      <w:r>
        <w:t xml:space="preserve">.    </w:t>
      </w:r>
    </w:p>
    <w:p w14:paraId="1F553CA9" w14:textId="77777777" w:rsidR="0025643F" w:rsidRDefault="0025643F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14:paraId="2404DC63" w14:textId="1BC58CF8" w:rsidR="00485770" w:rsidRPr="00151DD3" w:rsidRDefault="0025643F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1DD3">
        <w:t xml:space="preserve">Sans oublier la belle résistance de l’écriture woolfienne à toute </w:t>
      </w:r>
      <w:r w:rsidRPr="00190299">
        <w:t>assignation et assimilation</w:t>
      </w:r>
      <w:r w:rsidRPr="00151DD3">
        <w:t>, revenons peut-être</w:t>
      </w:r>
      <w:r>
        <w:t>,</w:t>
      </w:r>
      <w:r w:rsidRPr="00151DD3">
        <w:t xml:space="preserve"> en après-coup</w:t>
      </w:r>
      <w:r>
        <w:t>,</w:t>
      </w:r>
      <w:r w:rsidRPr="00151DD3">
        <w:t xml:space="preserve"> au projet fondateur de la S</w:t>
      </w:r>
      <w:r>
        <w:t>ociété d’Études Woolfiennes</w:t>
      </w:r>
      <w:r w:rsidRPr="00151DD3">
        <w:rPr>
          <w:rStyle w:val="Marquedenotedefin"/>
        </w:rPr>
        <w:endnoteReference w:id="27"/>
      </w:r>
      <w:r>
        <w:t> </w:t>
      </w:r>
      <w:r w:rsidR="00647198">
        <w:t xml:space="preserve">: </w:t>
      </w:r>
      <w:r w:rsidR="00873C5A" w:rsidRPr="00151DD3">
        <w:t>étudier et</w:t>
      </w:r>
      <w:r w:rsidR="00647198">
        <w:t xml:space="preserve"> </w:t>
      </w:r>
      <w:r w:rsidR="00873C5A" w:rsidRPr="00151DD3">
        <w:t>promouvoir les</w:t>
      </w:r>
      <w:r w:rsidR="00BB21D7" w:rsidRPr="00151DD3">
        <w:t xml:space="preserve"> « lectures françaises » de Woolf au sein de l’</w:t>
      </w:r>
      <w:r w:rsidR="00850997">
        <w:t>U</w:t>
      </w:r>
      <w:r w:rsidR="00BB21D7" w:rsidRPr="00151DD3">
        <w:t>niversité</w:t>
      </w:r>
      <w:r w:rsidR="00485770" w:rsidRPr="00151DD3">
        <w:t>,</w:t>
      </w:r>
      <w:r w:rsidR="00BB21D7" w:rsidRPr="00151DD3">
        <w:t xml:space="preserve"> </w:t>
      </w:r>
      <w:r w:rsidR="00925586" w:rsidRPr="00151DD3">
        <w:t xml:space="preserve">et </w:t>
      </w:r>
      <w:r w:rsidR="00BB21D7" w:rsidRPr="00151DD3">
        <w:t>réfléchi</w:t>
      </w:r>
      <w:r w:rsidR="00012732" w:rsidRPr="00151DD3">
        <w:t>ssons</w:t>
      </w:r>
      <w:r w:rsidR="00BB21D7" w:rsidRPr="00151DD3">
        <w:t xml:space="preserve"> à ses évolutions passées e</w:t>
      </w:r>
      <w:r w:rsidR="00925586" w:rsidRPr="00151DD3">
        <w:t xml:space="preserve">t à </w:t>
      </w:r>
      <w:r w:rsidR="00BB21D7" w:rsidRPr="00151DD3">
        <w:t>venir.</w:t>
      </w:r>
    </w:p>
    <w:p w14:paraId="69879642" w14:textId="77777777" w:rsidR="00ED232B" w:rsidRDefault="00ED232B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</w:rPr>
      </w:pPr>
    </w:p>
    <w:p w14:paraId="119C4915" w14:textId="2B3D51A1" w:rsidR="00016C30" w:rsidRPr="008F4924" w:rsidRDefault="00016C30" w:rsidP="00034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Verdana"/>
          <w:color w:val="000000" w:themeColor="text1"/>
        </w:rPr>
      </w:pPr>
      <w:r w:rsidRPr="008F4924">
        <w:rPr>
          <w:rFonts w:eastAsia="Cambria" w:cs="Verdana"/>
          <w:color w:val="000000" w:themeColor="text1"/>
        </w:rPr>
        <w:t>Autant d’approches que de le</w:t>
      </w:r>
      <w:r>
        <w:rPr>
          <w:rFonts w:eastAsia="Cambria" w:cs="Verdana"/>
          <w:color w:val="000000" w:themeColor="text1"/>
        </w:rPr>
        <w:t xml:space="preserve">ctures </w:t>
      </w:r>
      <w:r w:rsidRPr="008F4924">
        <w:rPr>
          <w:rFonts w:eastAsia="Cambria" w:cs="Verdana"/>
          <w:color w:val="000000" w:themeColor="text1"/>
        </w:rPr>
        <w:t>pour inspirer vos propositions d’intervention (200-300 mots)</w:t>
      </w:r>
      <w:r w:rsidR="00241471">
        <w:rPr>
          <w:rFonts w:eastAsia="Cambria" w:cs="Verdana"/>
          <w:color w:val="000000" w:themeColor="text1"/>
        </w:rPr>
        <w:t xml:space="preserve"> </w:t>
      </w:r>
      <w:r w:rsidRPr="008F4924">
        <w:rPr>
          <w:rFonts w:eastAsia="Cambria" w:cs="Verdana"/>
          <w:color w:val="000000" w:themeColor="text1"/>
        </w:rPr>
        <w:t>à rédiger en français</w:t>
      </w:r>
      <w:r w:rsidR="003D24DF">
        <w:rPr>
          <w:rFonts w:eastAsia="Cambria" w:cs="Verdana"/>
          <w:color w:val="000000" w:themeColor="text1"/>
        </w:rPr>
        <w:t>, ou en anglais,</w:t>
      </w:r>
      <w:r w:rsidRPr="008F4924">
        <w:rPr>
          <w:rFonts w:eastAsia="Cambria" w:cs="Verdana"/>
          <w:color w:val="000000" w:themeColor="text1"/>
        </w:rPr>
        <w:t xml:space="preserve"> et </w:t>
      </w:r>
      <w:r w:rsidR="00034636">
        <w:rPr>
          <w:rFonts w:eastAsia="Cambria" w:cs="Verdana"/>
          <w:color w:val="000000" w:themeColor="text1"/>
        </w:rPr>
        <w:t xml:space="preserve">à </w:t>
      </w:r>
      <w:r w:rsidRPr="008F4924">
        <w:rPr>
          <w:rFonts w:eastAsia="Cambria" w:cs="Verdana"/>
          <w:color w:val="000000" w:themeColor="text1"/>
        </w:rPr>
        <w:t>adresser avec une courte notice bio/bibliographique à</w:t>
      </w:r>
      <w:r w:rsidR="00D317CB">
        <w:t xml:space="preserve"> </w:t>
      </w:r>
      <w:hyperlink r:id="rId8" w:history="1">
        <w:r w:rsidR="00D317CB" w:rsidRPr="003056E3">
          <w:rPr>
            <w:rStyle w:val="Lienhypertexte"/>
          </w:rPr>
          <w:t>Woolflecturesfrancaises@gmail.com</w:t>
        </w:r>
      </w:hyperlink>
      <w:r w:rsidR="00D317CB">
        <w:t xml:space="preserve"> </w:t>
      </w:r>
      <w:r w:rsidRPr="008F4924">
        <w:t xml:space="preserve">avant </w:t>
      </w:r>
      <w:r w:rsidRPr="00591D32">
        <w:t>le </w:t>
      </w:r>
      <w:r w:rsidR="006E5FFD">
        <w:t>15</w:t>
      </w:r>
      <w:r>
        <w:t xml:space="preserve"> </w:t>
      </w:r>
      <w:r w:rsidR="006E5FFD">
        <w:t xml:space="preserve">octobre </w:t>
      </w:r>
      <w:r>
        <w:t>2021. Réponses</w:t>
      </w:r>
      <w:r w:rsidR="00241471">
        <w:t xml:space="preserve"> le</w:t>
      </w:r>
      <w:r>
        <w:t xml:space="preserve"> 15 novembre 2021.</w:t>
      </w:r>
    </w:p>
    <w:p w14:paraId="2ED084F6" w14:textId="77777777" w:rsidR="0025643F" w:rsidRDefault="0025643F" w:rsidP="0003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BB38ADA" w14:textId="1B18D08F" w:rsidR="0025643F" w:rsidRPr="00FF1438" w:rsidRDefault="004055DB" w:rsidP="00FF1438">
      <w:pPr>
        <w:rPr>
          <w:b/>
          <w:bCs/>
        </w:rPr>
      </w:pPr>
      <w:r w:rsidRPr="004055DB">
        <w:rPr>
          <w:b/>
          <w:bCs/>
        </w:rPr>
        <w:lastRenderedPageBreak/>
        <w:t>Comité scientifique</w:t>
      </w:r>
      <w:r w:rsidR="00FF1438">
        <w:rPr>
          <w:b/>
          <w:bCs/>
        </w:rPr>
        <w:t xml:space="preserve"> : </w:t>
      </w:r>
      <w:r w:rsidRPr="004055DB">
        <w:t xml:space="preserve">Frédérique </w:t>
      </w:r>
      <w:proofErr w:type="spellStart"/>
      <w:r w:rsidRPr="004055DB">
        <w:t>Amselle</w:t>
      </w:r>
      <w:proofErr w:type="spellEnd"/>
      <w:r w:rsidRPr="004055DB">
        <w:t xml:space="preserve"> (Université de Valenciennes)</w:t>
      </w:r>
      <w:r w:rsidR="00432294">
        <w:t xml:space="preserve">, </w:t>
      </w:r>
      <w:r w:rsidRPr="004055DB">
        <w:t xml:space="preserve">Anne </w:t>
      </w:r>
      <w:proofErr w:type="spellStart"/>
      <w:r w:rsidRPr="004055DB">
        <w:t>Besnault</w:t>
      </w:r>
      <w:proofErr w:type="spellEnd"/>
      <w:r w:rsidRPr="004055DB">
        <w:t xml:space="preserve"> (Université de Rouen)</w:t>
      </w:r>
      <w:r w:rsidR="00432294">
        <w:rPr>
          <w:b/>
          <w:bCs/>
        </w:rPr>
        <w:t xml:space="preserve">, </w:t>
      </w:r>
      <w:r w:rsidRPr="004055DB">
        <w:t xml:space="preserve">Adèle </w:t>
      </w:r>
      <w:proofErr w:type="spellStart"/>
      <w:r w:rsidRPr="004055DB">
        <w:t>Cassigneul</w:t>
      </w:r>
      <w:proofErr w:type="spellEnd"/>
      <w:r w:rsidRPr="004055DB">
        <w:t xml:space="preserve"> (Université de Toulouse 2)</w:t>
      </w:r>
      <w:r w:rsidR="00432294">
        <w:t xml:space="preserve">, </w:t>
      </w:r>
      <w:r w:rsidRPr="004055DB">
        <w:t>Claire Davison (Université Sorbonne Nouvelle)</w:t>
      </w:r>
      <w:r w:rsidR="00432294">
        <w:rPr>
          <w:b/>
          <w:bCs/>
        </w:rPr>
        <w:t xml:space="preserve">, </w:t>
      </w:r>
      <w:r w:rsidRPr="004055DB">
        <w:t xml:space="preserve">Anne Marie Di </w:t>
      </w:r>
      <w:proofErr w:type="spellStart"/>
      <w:r w:rsidRPr="004055DB">
        <w:t>Biasio</w:t>
      </w:r>
      <w:proofErr w:type="spellEnd"/>
      <w:r w:rsidRPr="004055DB">
        <w:t xml:space="preserve"> (Institut Catholique de Paris)</w:t>
      </w:r>
      <w:r w:rsidR="00432294">
        <w:t xml:space="preserve">, </w:t>
      </w:r>
      <w:r w:rsidRPr="004055DB">
        <w:t>Marie Laniel (Université de Picardie-Jules Verne)</w:t>
      </w:r>
      <w:r w:rsidR="00432294">
        <w:t xml:space="preserve">, </w:t>
      </w:r>
      <w:r w:rsidRPr="004055DB">
        <w:t xml:space="preserve">Catherine </w:t>
      </w:r>
      <w:proofErr w:type="spellStart"/>
      <w:r w:rsidRPr="004055DB">
        <w:t>Lanone</w:t>
      </w:r>
      <w:proofErr w:type="spellEnd"/>
      <w:r w:rsidRPr="004055DB">
        <w:t xml:space="preserve"> (Université Sorbonne Nouvelle)</w:t>
      </w:r>
      <w:r w:rsidR="00432294">
        <w:t>,</w:t>
      </w:r>
      <w:r w:rsidRPr="004055DB">
        <w:t xml:space="preserve">Virginie </w:t>
      </w:r>
      <w:proofErr w:type="spellStart"/>
      <w:r w:rsidRPr="004055DB">
        <w:t>Podvin</w:t>
      </w:r>
      <w:proofErr w:type="spellEnd"/>
      <w:r w:rsidRPr="004055DB">
        <w:t xml:space="preserve"> (Université de Brest)</w:t>
      </w:r>
      <w:r w:rsidR="00432294">
        <w:t xml:space="preserve">, </w:t>
      </w:r>
      <w:r w:rsidRPr="004055DB">
        <w:t xml:space="preserve">Floriane </w:t>
      </w:r>
      <w:proofErr w:type="spellStart"/>
      <w:r w:rsidRPr="004055DB">
        <w:t>Reviron-Piegay</w:t>
      </w:r>
      <w:proofErr w:type="spellEnd"/>
      <w:r w:rsidRPr="004055DB">
        <w:t xml:space="preserve"> (Université de Saint-Etienne)</w:t>
      </w:r>
      <w:r w:rsidR="00432294">
        <w:t xml:space="preserve">, </w:t>
      </w:r>
      <w:r w:rsidRPr="004055DB">
        <w:t xml:space="preserve">Anne-Laure </w:t>
      </w:r>
      <w:proofErr w:type="spellStart"/>
      <w:r w:rsidRPr="004055DB">
        <w:t>Rigeade</w:t>
      </w:r>
      <w:proofErr w:type="spellEnd"/>
      <w:r w:rsidRPr="004055DB">
        <w:t xml:space="preserve"> (Sciences Po Reims – Item/ Équipes)</w:t>
      </w:r>
      <w:r w:rsidR="00432294">
        <w:t xml:space="preserve">, </w:t>
      </w:r>
      <w:r w:rsidRPr="004055DB">
        <w:t>Naomi Toth (Université Paris Nanterre</w:t>
      </w:r>
      <w:r w:rsidR="00227BB0">
        <w:t>)</w:t>
      </w:r>
      <w:r w:rsidR="00444E6E">
        <w:t>.</w:t>
      </w:r>
    </w:p>
    <w:sectPr w:rsidR="0025643F" w:rsidRPr="00FF1438" w:rsidSect="00696774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61B4" w14:textId="77777777" w:rsidR="005A3400" w:rsidRDefault="005A3400" w:rsidP="00B52D84">
      <w:r>
        <w:separator/>
      </w:r>
    </w:p>
  </w:endnote>
  <w:endnote w:type="continuationSeparator" w:id="0">
    <w:p w14:paraId="2B1018DA" w14:textId="77777777" w:rsidR="005A3400" w:rsidRDefault="005A3400" w:rsidP="00B52D84">
      <w:r>
        <w:continuationSeparator/>
      </w:r>
    </w:p>
  </w:endnote>
  <w:endnote w:id="1">
    <w:p w14:paraId="4E827297" w14:textId="69EF2972" w:rsidR="00FC799C" w:rsidRPr="00E77C32" w:rsidRDefault="00FC799C" w:rsidP="00E77C32">
      <w:pPr>
        <w:pStyle w:val="Notedefin"/>
        <w:jc w:val="both"/>
        <w:rPr>
          <w:lang w:val="en-US"/>
        </w:rPr>
      </w:pPr>
      <w:r w:rsidRPr="00463B27">
        <w:rPr>
          <w:rStyle w:val="Marquedenotedefin"/>
        </w:rPr>
        <w:endnoteRef/>
      </w:r>
      <w:r w:rsidRPr="00463B27">
        <w:rPr>
          <w:lang w:val="en-US"/>
        </w:rPr>
        <w:t xml:space="preserve"> </w:t>
      </w:r>
      <w:r w:rsidRPr="00E77C32">
        <w:rPr>
          <w:lang w:val="en-US"/>
        </w:rPr>
        <w:t xml:space="preserve">Virginia Woolf, « Montaigne » in </w:t>
      </w:r>
      <w:r w:rsidRPr="00E77C32">
        <w:rPr>
          <w:i/>
          <w:lang w:val="en-US"/>
        </w:rPr>
        <w:t>The Essays of Virginia Woolf</w:t>
      </w:r>
      <w:r w:rsidRPr="00E77C32">
        <w:rPr>
          <w:lang w:val="en-US"/>
        </w:rPr>
        <w:t>, Vol. IV, 1925-1928, ed. Andrew McNeillie, London, The Hogarth Press, 1994, 71-81, 78.</w:t>
      </w:r>
    </w:p>
  </w:endnote>
  <w:endnote w:id="2">
    <w:p w14:paraId="7D72DEEC" w14:textId="2151D22B" w:rsidR="00FC799C" w:rsidRPr="00E77C32" w:rsidRDefault="00FC799C" w:rsidP="00E77C32">
      <w:pPr>
        <w:pStyle w:val="Notedefin"/>
        <w:jc w:val="both"/>
        <w:rPr>
          <w:lang w:val="en-US"/>
        </w:rPr>
      </w:pPr>
      <w:r w:rsidRPr="00E77C32">
        <w:rPr>
          <w:rStyle w:val="Marquedenotedefin"/>
        </w:rPr>
        <w:endnoteRef/>
      </w:r>
      <w:r w:rsidRPr="00E77C32">
        <w:rPr>
          <w:lang w:val="en-US"/>
        </w:rPr>
        <w:t xml:space="preserve"> </w:t>
      </w:r>
      <w:r w:rsidRPr="00A21BBB">
        <w:rPr>
          <w:i/>
          <w:iCs/>
          <w:lang w:val="en-US"/>
        </w:rPr>
        <w:t>Id</w:t>
      </w:r>
      <w:r>
        <w:rPr>
          <w:lang w:val="en-US"/>
        </w:rPr>
        <w:t>.</w:t>
      </w:r>
      <w:r w:rsidRPr="00E77C32">
        <w:rPr>
          <w:lang w:val="en-US"/>
        </w:rPr>
        <w:t xml:space="preserve">, « Phases of Fiction » in </w:t>
      </w:r>
      <w:r w:rsidRPr="00E77C32">
        <w:rPr>
          <w:i/>
          <w:lang w:val="en-US"/>
        </w:rPr>
        <w:t>The Essays of Virginia Woolf</w:t>
      </w:r>
      <w:r w:rsidRPr="00E77C32">
        <w:rPr>
          <w:lang w:val="en-US"/>
        </w:rPr>
        <w:t>, Vol. V</w:t>
      </w:r>
      <w:r>
        <w:rPr>
          <w:lang w:val="en-US"/>
        </w:rPr>
        <w:t xml:space="preserve">, </w:t>
      </w:r>
      <w:r w:rsidRPr="00E77C32">
        <w:rPr>
          <w:lang w:val="en-US"/>
        </w:rPr>
        <w:t>1929-1932, ed. Andrew McNeillie, London, The Hogarth Press, 2009, 40-89.</w:t>
      </w:r>
    </w:p>
  </w:endnote>
  <w:endnote w:id="3">
    <w:p w14:paraId="117DDCFB" w14:textId="3BDB6CD1" w:rsidR="00FC799C" w:rsidRPr="009C3294" w:rsidRDefault="00FC799C" w:rsidP="009C3294">
      <w:pPr>
        <w:rPr>
          <w:b/>
          <w:lang w:val="en-US"/>
        </w:rPr>
      </w:pPr>
      <w:r w:rsidRPr="00E77C32">
        <w:rPr>
          <w:rStyle w:val="Marquedenotedefin"/>
        </w:rPr>
        <w:endnoteRef/>
      </w:r>
      <w:r w:rsidRPr="00E77C32">
        <w:rPr>
          <w:lang w:val="en-US"/>
        </w:rPr>
        <w:t xml:space="preserve"> </w:t>
      </w:r>
      <w:r w:rsidRPr="009C3294">
        <w:rPr>
          <w:sz w:val="20"/>
          <w:szCs w:val="20"/>
          <w:lang w:val="en-US"/>
        </w:rPr>
        <w:t xml:space="preserve">À Jacques Raverat, elle écrit depuis Monks House, le 25 août 1922: « Tell me when you write if there are any good French books », </w:t>
      </w:r>
      <w:r w:rsidRPr="009C3294">
        <w:rPr>
          <w:i/>
          <w:sz w:val="20"/>
          <w:szCs w:val="20"/>
          <w:lang w:val="en-US"/>
        </w:rPr>
        <w:t xml:space="preserve">The Letters of Virginia Woolf, </w:t>
      </w:r>
      <w:r w:rsidRPr="009C3294">
        <w:rPr>
          <w:sz w:val="20"/>
          <w:szCs w:val="20"/>
          <w:lang w:val="en-US"/>
        </w:rPr>
        <w:t xml:space="preserve">Vol. </w:t>
      </w:r>
      <w:r w:rsidRPr="009C3294">
        <w:rPr>
          <w:sz w:val="20"/>
          <w:szCs w:val="20"/>
        </w:rPr>
        <w:t>II, ed. Trautmann Banks, The Hogarth Press, London, 1989, 146 / « Lorsque vous m’écrirez, dites-moi donc s’il y a de bons livres français en ce moment » </w:t>
      </w:r>
      <w:r w:rsidRPr="009C3294">
        <w:rPr>
          <w:sz w:val="20"/>
          <w:szCs w:val="20"/>
          <w:vertAlign w:val="superscript"/>
        </w:rPr>
        <w:endnoteRef/>
      </w:r>
      <w:r w:rsidRPr="009C3294">
        <w:rPr>
          <w:sz w:val="20"/>
          <w:szCs w:val="20"/>
        </w:rPr>
        <w:t xml:space="preserve">, </w:t>
      </w:r>
      <w:r w:rsidRPr="009C3294">
        <w:rPr>
          <w:i/>
          <w:iCs/>
          <w:sz w:val="20"/>
          <w:szCs w:val="20"/>
        </w:rPr>
        <w:t>Lettres</w:t>
      </w:r>
      <w:r w:rsidRPr="009C3294">
        <w:rPr>
          <w:sz w:val="20"/>
          <w:szCs w:val="20"/>
        </w:rPr>
        <w:t xml:space="preserve">, tr. fr. Claude Demanuelli, Paris, Seuil, coll. « Le don des langues », 1993, 226. Concernant Rabelais, Racine et Maurois, </w:t>
      </w:r>
      <w:r w:rsidRPr="009C3294">
        <w:rPr>
          <w:i/>
          <w:iCs/>
          <w:sz w:val="20"/>
          <w:szCs w:val="20"/>
        </w:rPr>
        <w:t>cf</w:t>
      </w:r>
      <w:r w:rsidRPr="009C3294">
        <w:rPr>
          <w:sz w:val="20"/>
          <w:szCs w:val="20"/>
        </w:rPr>
        <w:t xml:space="preserve">. Virginia Woolf – Lytton Strachey, </w:t>
      </w:r>
      <w:r w:rsidRPr="009C3294">
        <w:rPr>
          <w:i/>
          <w:sz w:val="20"/>
          <w:szCs w:val="20"/>
        </w:rPr>
        <w:t>Letters</w:t>
      </w:r>
      <w:r w:rsidRPr="009C3294">
        <w:rPr>
          <w:sz w:val="20"/>
          <w:szCs w:val="20"/>
        </w:rPr>
        <w:t xml:space="preserve">, ed. </w:t>
      </w:r>
      <w:r w:rsidRPr="009C3294">
        <w:rPr>
          <w:sz w:val="20"/>
          <w:szCs w:val="20"/>
          <w:lang w:val="en-US"/>
        </w:rPr>
        <w:t>Leonard Woolf and James Stratchey, London, The Hogarth Press, 1969</w:t>
      </w:r>
      <w:r w:rsidR="00221BCA">
        <w:rPr>
          <w:sz w:val="20"/>
          <w:szCs w:val="20"/>
          <w:lang w:val="en-US"/>
        </w:rPr>
        <w:t xml:space="preserve">. </w:t>
      </w:r>
      <w:r w:rsidR="005D76B9" w:rsidRPr="009C3294">
        <w:rPr>
          <w:sz w:val="20"/>
          <w:szCs w:val="20"/>
          <w:lang w:val="en-US"/>
        </w:rPr>
        <w:t xml:space="preserve">Concernant Saint Simon et Maurois, </w:t>
      </w:r>
      <w:r w:rsidR="005D76B9" w:rsidRPr="009C3294">
        <w:rPr>
          <w:i/>
          <w:iCs/>
          <w:sz w:val="20"/>
          <w:szCs w:val="20"/>
          <w:lang w:val="en-US"/>
        </w:rPr>
        <w:t>cf</w:t>
      </w:r>
      <w:r w:rsidR="005D76B9" w:rsidRPr="009C3294">
        <w:rPr>
          <w:sz w:val="20"/>
          <w:szCs w:val="20"/>
          <w:lang w:val="en-US"/>
        </w:rPr>
        <w:t>. « On Not Knowing French »,</w:t>
      </w:r>
      <w:r w:rsidR="00D62E87">
        <w:rPr>
          <w:sz w:val="20"/>
          <w:szCs w:val="20"/>
          <w:lang w:val="en-US"/>
        </w:rPr>
        <w:t xml:space="preserve"> </w:t>
      </w:r>
      <w:r w:rsidRPr="009C3294">
        <w:rPr>
          <w:i/>
          <w:sz w:val="20"/>
          <w:szCs w:val="20"/>
          <w:lang w:val="en-US"/>
        </w:rPr>
        <w:t>The Essays of Virginia Woolf</w:t>
      </w:r>
      <w:r w:rsidRPr="009C3294">
        <w:rPr>
          <w:sz w:val="20"/>
          <w:szCs w:val="20"/>
          <w:lang w:val="en-US"/>
        </w:rPr>
        <w:t xml:space="preserve">, Vol. V, ed. Andrew McNeillie, London, The Hogarth Press, 2009, 3-10. Pour Rousseau, Flaubert, Rimbaud et Mallarmé, </w:t>
      </w:r>
      <w:r w:rsidRPr="009C3294">
        <w:rPr>
          <w:i/>
          <w:iCs/>
          <w:sz w:val="20"/>
          <w:szCs w:val="20"/>
          <w:lang w:val="en-US"/>
        </w:rPr>
        <w:t>cf</w:t>
      </w:r>
      <w:r w:rsidRPr="009C3294">
        <w:rPr>
          <w:sz w:val="20"/>
          <w:szCs w:val="20"/>
          <w:lang w:val="en-US"/>
        </w:rPr>
        <w:t xml:space="preserve">. </w:t>
      </w:r>
      <w:r w:rsidRPr="009C3294">
        <w:rPr>
          <w:i/>
          <w:iCs/>
          <w:sz w:val="20"/>
          <w:szCs w:val="20"/>
          <w:lang w:val="en-US"/>
        </w:rPr>
        <w:t>The Selected Letters of Virginia Woolf</w:t>
      </w:r>
      <w:r w:rsidRPr="009C3294">
        <w:rPr>
          <w:sz w:val="20"/>
          <w:szCs w:val="20"/>
          <w:lang w:val="en-US"/>
        </w:rPr>
        <w:t xml:space="preserve">, ed. Joanne Trautmann Banks, London, The Hogarth Press, 1989. Pour George Sand, </w:t>
      </w:r>
      <w:r w:rsidRPr="009C3294">
        <w:rPr>
          <w:i/>
          <w:sz w:val="20"/>
          <w:szCs w:val="20"/>
          <w:lang w:val="en-US"/>
        </w:rPr>
        <w:t>Three Guineas</w:t>
      </w:r>
      <w:r w:rsidRPr="009C3294">
        <w:rPr>
          <w:sz w:val="20"/>
          <w:szCs w:val="20"/>
          <w:lang w:val="en-US"/>
        </w:rPr>
        <w:t xml:space="preserve">, </w:t>
      </w:r>
      <w:r w:rsidRPr="009C3294">
        <w:rPr>
          <w:i/>
          <w:sz w:val="20"/>
          <w:szCs w:val="20"/>
          <w:lang w:val="en-US"/>
        </w:rPr>
        <w:t>Notes and References</w:t>
      </w:r>
      <w:r w:rsidRPr="009C3294">
        <w:rPr>
          <w:sz w:val="20"/>
          <w:szCs w:val="20"/>
          <w:lang w:val="en-US"/>
        </w:rPr>
        <w:t xml:space="preserve"> 3, 49 ; Harvest/HBJ, 1966, 188.</w:t>
      </w:r>
    </w:p>
    <w:p w14:paraId="71D2FE40" w14:textId="22B7A423" w:rsidR="00FC799C" w:rsidRPr="00E77C32" w:rsidRDefault="00FC799C" w:rsidP="00583419">
      <w:pPr>
        <w:pStyle w:val="Notedefin"/>
        <w:rPr>
          <w:lang w:val="en-US"/>
        </w:rPr>
      </w:pPr>
      <w:r w:rsidRPr="00190299">
        <w:rPr>
          <w:lang w:val="en-US"/>
        </w:rPr>
        <w:t>Voir également «</w:t>
      </w:r>
      <w:r>
        <w:rPr>
          <w:lang w:val="en-US"/>
        </w:rPr>
        <w:t> </w:t>
      </w:r>
      <w:r w:rsidRPr="00190299">
        <w:rPr>
          <w:lang w:val="en-US"/>
        </w:rPr>
        <w:t>Stendhal</w:t>
      </w:r>
      <w:r w:rsidRPr="00347596">
        <w:rPr>
          <w:lang w:val="en-US"/>
        </w:rPr>
        <w:t> »</w:t>
      </w:r>
      <w:r w:rsidRPr="00190299">
        <w:rPr>
          <w:lang w:val="en-US"/>
        </w:rPr>
        <w:t xml:space="preserve">, </w:t>
      </w:r>
      <w:r w:rsidRPr="00190299">
        <w:rPr>
          <w:i/>
          <w:iCs/>
          <w:lang w:val="en-US"/>
        </w:rPr>
        <w:t>The Essays of Virginia Woolf</w:t>
      </w:r>
      <w:r w:rsidRPr="00190299">
        <w:rPr>
          <w:lang w:val="en-US"/>
        </w:rPr>
        <w:t>, Vol. III</w:t>
      </w:r>
      <w:r>
        <w:rPr>
          <w:lang w:val="en-US"/>
        </w:rPr>
        <w:t>,</w:t>
      </w:r>
      <w:r w:rsidRPr="00190299">
        <w:rPr>
          <w:lang w:val="en-US"/>
        </w:rPr>
        <w:t xml:space="preserve"> 1919-1934, ed. Andrew</w:t>
      </w:r>
      <w:r w:rsidRPr="00927C2C">
        <w:rPr>
          <w:lang w:val="en-US"/>
        </w:rPr>
        <w:t xml:space="preserve"> McNeillie, London, The Hogarth Press, 1998, 416-418</w:t>
      </w:r>
      <w:r>
        <w:rPr>
          <w:lang w:val="en-US"/>
        </w:rPr>
        <w:t xml:space="preserve"> ; </w:t>
      </w:r>
      <w:r w:rsidRPr="00190299">
        <w:rPr>
          <w:lang w:val="en-US"/>
        </w:rPr>
        <w:t>«</w:t>
      </w:r>
      <w:r>
        <w:rPr>
          <w:lang w:val="en-US"/>
        </w:rPr>
        <w:t> </w:t>
      </w:r>
      <w:r w:rsidRPr="00E77C32">
        <w:rPr>
          <w:lang w:val="en-US"/>
        </w:rPr>
        <w:t>Madame de Sévigné</w:t>
      </w:r>
      <w:r w:rsidRPr="00347596">
        <w:rPr>
          <w:lang w:val="en-US"/>
        </w:rPr>
        <w:t> »</w:t>
      </w:r>
      <w:r w:rsidRPr="00E77C32">
        <w:rPr>
          <w:lang w:val="en-US"/>
        </w:rPr>
        <w:t xml:space="preserve">, </w:t>
      </w:r>
      <w:r w:rsidRPr="00190299">
        <w:rPr>
          <w:i/>
          <w:lang w:val="en-US"/>
        </w:rPr>
        <w:t>The Essays of Virginia Woolf</w:t>
      </w:r>
      <w:r w:rsidRPr="00190299">
        <w:rPr>
          <w:lang w:val="en-US"/>
        </w:rPr>
        <w:t>, Vol. VI</w:t>
      </w:r>
      <w:r>
        <w:rPr>
          <w:lang w:val="en-US"/>
        </w:rPr>
        <w:t>,</w:t>
      </w:r>
      <w:r w:rsidRPr="00190299">
        <w:rPr>
          <w:lang w:val="en-US"/>
        </w:rPr>
        <w:t xml:space="preserve"> 1933-1941, London, ed. </w:t>
      </w:r>
      <w:r w:rsidRPr="00E77C32">
        <w:rPr>
          <w:lang w:val="en-US"/>
        </w:rPr>
        <w:t>Andrew Mc Neillie, The Hogarth Press, 2011, 497-504.</w:t>
      </w:r>
    </w:p>
  </w:endnote>
  <w:endnote w:id="4">
    <w:p w14:paraId="544A447F" w14:textId="7A208597" w:rsidR="00FC799C" w:rsidRPr="00E77C32" w:rsidRDefault="00FC799C" w:rsidP="004E35E2">
      <w:pPr>
        <w:pStyle w:val="Notedefin"/>
        <w:jc w:val="both"/>
        <w:rPr>
          <w:lang w:val="en-US"/>
        </w:rPr>
      </w:pPr>
      <w:r w:rsidRPr="00E77C32">
        <w:rPr>
          <w:rStyle w:val="Marquedenotedefin"/>
        </w:rPr>
        <w:endnoteRef/>
      </w:r>
      <w:r w:rsidRPr="00E77C32">
        <w:rPr>
          <w:lang w:val="en-US"/>
        </w:rPr>
        <w:t xml:space="preserve"> </w:t>
      </w:r>
      <w:r w:rsidRPr="00E77C32">
        <w:rPr>
          <w:i/>
          <w:iCs/>
          <w:lang w:val="en-US"/>
        </w:rPr>
        <w:t>A Checklist of the Hogarth Press, 1917-1938</w:t>
      </w:r>
      <w:r w:rsidRPr="00E77C32">
        <w:rPr>
          <w:lang w:val="en-US"/>
        </w:rPr>
        <w:t xml:space="preserve">, </w:t>
      </w:r>
      <w:r>
        <w:rPr>
          <w:lang w:val="en-US"/>
        </w:rPr>
        <w:t xml:space="preserve">ed. </w:t>
      </w:r>
      <w:r w:rsidRPr="00E77C32">
        <w:rPr>
          <w:lang w:val="en-US"/>
        </w:rPr>
        <w:t>J. Howard Woolmer, London, The Hogarth Press, 1976.</w:t>
      </w:r>
    </w:p>
  </w:endnote>
  <w:endnote w:id="5">
    <w:p w14:paraId="40329633" w14:textId="19CF850F" w:rsidR="00FC799C" w:rsidRPr="00347596" w:rsidRDefault="00FC799C" w:rsidP="00D62E87">
      <w:pPr>
        <w:pStyle w:val="Sansinterligne"/>
        <w:ind w:left="0" w:right="-6"/>
        <w:rPr>
          <w:rFonts w:cs="Times New Roman"/>
          <w:lang w:val="en-US"/>
        </w:rPr>
      </w:pPr>
      <w:r w:rsidRPr="00E77C32">
        <w:rPr>
          <w:rStyle w:val="Marquedenotedefin"/>
          <w:rFonts w:cs="Times New Roman"/>
          <w:szCs w:val="20"/>
        </w:rPr>
        <w:endnoteRef/>
      </w:r>
      <w:r w:rsidRPr="00E77C32">
        <w:rPr>
          <w:rFonts w:cs="Times New Roman"/>
          <w:szCs w:val="20"/>
        </w:rPr>
        <w:t xml:space="preserve"> Dans une lettre à Jacques Raverat du 30 mars 1923, elle confie : </w:t>
      </w:r>
      <w:r w:rsidRPr="00347596">
        <w:t>« </w:t>
      </w:r>
      <w:r w:rsidRPr="00E77C32">
        <w:rPr>
          <w:rFonts w:cs="Times New Roman"/>
          <w:szCs w:val="20"/>
        </w:rPr>
        <w:t>But how does one learn the</w:t>
      </w:r>
      <w:r>
        <w:rPr>
          <w:rFonts w:cs="Times New Roman"/>
          <w:szCs w:val="20"/>
        </w:rPr>
        <w:t xml:space="preserve"> </w:t>
      </w:r>
      <w:r w:rsidRPr="00E77C32">
        <w:rPr>
          <w:rFonts w:cs="Times New Roman"/>
          <w:szCs w:val="20"/>
        </w:rPr>
        <w:t xml:space="preserve">language? </w:t>
      </w:r>
      <w:r w:rsidRPr="00E77C32">
        <w:rPr>
          <w:rFonts w:cs="Times New Roman"/>
          <w:szCs w:val="20"/>
          <w:lang w:val="en-US"/>
        </w:rPr>
        <w:t>I must and will!</w:t>
      </w:r>
      <w:r w:rsidRPr="00347596">
        <w:rPr>
          <w:lang w:val="en-US"/>
        </w:rPr>
        <w:t> »</w:t>
      </w:r>
      <w:r w:rsidRPr="00E77C32">
        <w:rPr>
          <w:rFonts w:cs="Times New Roman"/>
          <w:szCs w:val="20"/>
          <w:lang w:val="en-US"/>
        </w:rPr>
        <w:t xml:space="preserve">, </w:t>
      </w:r>
      <w:r w:rsidRPr="00E77C32">
        <w:rPr>
          <w:rFonts w:cs="Times New Roman"/>
          <w:i/>
          <w:szCs w:val="20"/>
          <w:lang w:val="en-GB"/>
        </w:rPr>
        <w:t>T</w:t>
      </w:r>
      <w:r w:rsidRPr="00E77C32">
        <w:rPr>
          <w:rFonts w:cs="Times New Roman"/>
          <w:i/>
          <w:iCs/>
          <w:szCs w:val="20"/>
          <w:lang w:val="en-GB"/>
        </w:rPr>
        <w:t>he Letters of Virginia Woolf</w:t>
      </w:r>
      <w:r w:rsidRPr="00E77C32">
        <w:rPr>
          <w:rFonts w:cs="Times New Roman"/>
          <w:szCs w:val="20"/>
          <w:lang w:val="en-GB"/>
        </w:rPr>
        <w:t xml:space="preserve">, ed. </w:t>
      </w:r>
      <w:r w:rsidRPr="00347596">
        <w:rPr>
          <w:rFonts w:cs="Times New Roman"/>
          <w:szCs w:val="20"/>
          <w:lang w:val="en-GB"/>
        </w:rPr>
        <w:t>Nigel Nicolson, London, Chatto and Wi</w:t>
      </w:r>
      <w:r w:rsidR="00D62E87">
        <w:rPr>
          <w:rFonts w:cs="Times New Roman"/>
          <w:szCs w:val="20"/>
          <w:lang w:val="en-GB"/>
        </w:rPr>
        <w:t>ndus, Vol. IIII, 1981,</w:t>
      </w:r>
      <w:r w:rsidRPr="00347596">
        <w:rPr>
          <w:rFonts w:cs="Times New Roman"/>
          <w:szCs w:val="20"/>
          <w:lang w:val="en-GB"/>
        </w:rPr>
        <w:t xml:space="preserve"> 23.</w:t>
      </w:r>
      <w:r w:rsidRPr="00347596">
        <w:rPr>
          <w:rFonts w:eastAsia="Calibri" w:cs="Times New Roman"/>
          <w:szCs w:val="20"/>
          <w:lang w:val="en-GB"/>
        </w:rPr>
        <w:t xml:space="preserve"> </w:t>
      </w:r>
      <w:r w:rsidRPr="00474577">
        <w:rPr>
          <w:rFonts w:eastAsia="Calibri" w:cs="Times New Roman"/>
          <w:szCs w:val="20"/>
          <w:lang w:val="en-GB"/>
        </w:rPr>
        <w:t xml:space="preserve">Toujours au même destinataire, elle ajoute le 4 septembre 1924 : </w:t>
      </w:r>
      <w:r w:rsidRPr="00474577">
        <w:rPr>
          <w:lang w:val="en-GB"/>
        </w:rPr>
        <w:t>« </w:t>
      </w:r>
      <w:r w:rsidRPr="00474577">
        <w:rPr>
          <w:rFonts w:cs="Times New Roman"/>
          <w:szCs w:val="20"/>
          <w:lang w:val="en-GB"/>
        </w:rPr>
        <w:t>Everything French has a perfection in my eyes</w:t>
      </w:r>
      <w:r w:rsidRPr="00474577">
        <w:rPr>
          <w:lang w:val="en-GB"/>
        </w:rPr>
        <w:t> »</w:t>
      </w:r>
      <w:r w:rsidRPr="00474577">
        <w:rPr>
          <w:rFonts w:cs="Times New Roman"/>
          <w:szCs w:val="20"/>
          <w:lang w:val="en-GB"/>
        </w:rPr>
        <w:t xml:space="preserve">, </w:t>
      </w:r>
      <w:r w:rsidRPr="00474577">
        <w:rPr>
          <w:rFonts w:cs="Times New Roman"/>
          <w:i/>
          <w:szCs w:val="20"/>
          <w:lang w:val="en-GB"/>
        </w:rPr>
        <w:t>Letters</w:t>
      </w:r>
      <w:r w:rsidRPr="00474577">
        <w:rPr>
          <w:rFonts w:cs="Times New Roman"/>
          <w:szCs w:val="20"/>
          <w:lang w:val="en-GB"/>
        </w:rPr>
        <w:t xml:space="preserve">, vol. </w:t>
      </w:r>
      <w:r w:rsidRPr="00347596">
        <w:rPr>
          <w:rFonts w:cs="Times New Roman"/>
          <w:szCs w:val="20"/>
          <w:lang w:val="en-US"/>
        </w:rPr>
        <w:t>III, éd. cit., 131.</w:t>
      </w:r>
    </w:p>
  </w:endnote>
  <w:endnote w:id="6">
    <w:p w14:paraId="6FB9091A" w14:textId="586C095A" w:rsidR="00FC799C" w:rsidRPr="00E77C32" w:rsidRDefault="00FC799C" w:rsidP="00E77C32">
      <w:pPr>
        <w:pStyle w:val="Notedefin"/>
        <w:jc w:val="both"/>
        <w:rPr>
          <w:lang w:val="en-US"/>
        </w:rPr>
      </w:pPr>
      <w:r w:rsidRPr="00E77C32">
        <w:rPr>
          <w:rStyle w:val="Marquedenotedefin"/>
        </w:rPr>
        <w:endnoteRef/>
      </w:r>
      <w:r w:rsidRPr="00E77C32">
        <w:rPr>
          <w:lang w:val="en-US"/>
        </w:rPr>
        <w:t xml:space="preserve">  Virginia Woolf, </w:t>
      </w:r>
      <w:r w:rsidRPr="00E77C32">
        <w:rPr>
          <w:i/>
          <w:lang w:val="en-US"/>
        </w:rPr>
        <w:t xml:space="preserve">op.cit. </w:t>
      </w:r>
      <w:r w:rsidRPr="00E77C32">
        <w:rPr>
          <w:lang w:val="en-US"/>
        </w:rPr>
        <w:t>3-10.</w:t>
      </w:r>
    </w:p>
  </w:endnote>
  <w:endnote w:id="7">
    <w:p w14:paraId="289F1DD6" w14:textId="4B2D2552" w:rsidR="00FC799C" w:rsidRPr="00190299" w:rsidRDefault="00FC799C" w:rsidP="00E77C32">
      <w:pPr>
        <w:pStyle w:val="Notedefin"/>
        <w:jc w:val="both"/>
        <w:rPr>
          <w:lang w:val="en-US"/>
        </w:rPr>
      </w:pPr>
      <w:r w:rsidRPr="00190299">
        <w:rPr>
          <w:rStyle w:val="Marquedenotedefin"/>
        </w:rPr>
        <w:endnoteRef/>
      </w:r>
      <w:r w:rsidRPr="00190299">
        <w:rPr>
          <w:lang w:val="en-US"/>
        </w:rPr>
        <w:t xml:space="preserve"> </w:t>
      </w:r>
      <w:r w:rsidRPr="00190299">
        <w:rPr>
          <w:i/>
          <w:iCs/>
          <w:lang w:val="en-US"/>
        </w:rPr>
        <w:t>Id</w:t>
      </w:r>
      <w:r w:rsidRPr="00190299">
        <w:rPr>
          <w:lang w:val="en-US"/>
        </w:rPr>
        <w:t>., « Phases of Fiction », 66.</w:t>
      </w:r>
    </w:p>
  </w:endnote>
  <w:endnote w:id="8">
    <w:p w14:paraId="7B486A17" w14:textId="0BDCA91B" w:rsidR="00FC799C" w:rsidRPr="00190299" w:rsidRDefault="00FC799C" w:rsidP="00E77C32">
      <w:pPr>
        <w:pStyle w:val="Notedefin"/>
        <w:jc w:val="both"/>
        <w:rPr>
          <w:lang w:val="en-US"/>
        </w:rPr>
      </w:pPr>
      <w:r w:rsidRPr="00190299">
        <w:rPr>
          <w:rStyle w:val="Marquedenotedefin"/>
        </w:rPr>
        <w:endnoteRef/>
      </w:r>
      <w:r w:rsidRPr="00190299">
        <w:t xml:space="preserve"> Sandra Cheilan, </w:t>
      </w:r>
      <w:r w:rsidRPr="00190299">
        <w:rPr>
          <w:i/>
          <w:iCs/>
        </w:rPr>
        <w:t>Poétique de l’intime – Proust, Woolf et Pessoa</w:t>
      </w:r>
      <w:r w:rsidRPr="00190299">
        <w:t xml:space="preserve">, Presses universitaires de Rennes, coll. </w:t>
      </w:r>
      <w:r w:rsidRPr="00190299">
        <w:rPr>
          <w:lang w:val="en-US"/>
        </w:rPr>
        <w:t>Interférences, 2015.</w:t>
      </w:r>
    </w:p>
  </w:endnote>
  <w:endnote w:id="9">
    <w:p w14:paraId="241ADBE9" w14:textId="54E3EA63" w:rsidR="00FC799C" w:rsidRPr="00190299" w:rsidRDefault="00FC799C" w:rsidP="00E77C32">
      <w:pPr>
        <w:pStyle w:val="Notedefin"/>
        <w:jc w:val="both"/>
        <w:rPr>
          <w:lang w:val="en-US"/>
        </w:rPr>
      </w:pPr>
      <w:r w:rsidRPr="00190299">
        <w:rPr>
          <w:rStyle w:val="Marquedenotedefin"/>
        </w:rPr>
        <w:endnoteRef/>
      </w:r>
      <w:r w:rsidRPr="00190299">
        <w:rPr>
          <w:lang w:val="en-US"/>
        </w:rPr>
        <w:t xml:space="preserve"> Charles K. Scott Moncrieff, </w:t>
      </w:r>
      <w:r w:rsidRPr="00190299">
        <w:rPr>
          <w:i/>
          <w:lang w:val="en-US"/>
        </w:rPr>
        <w:t xml:space="preserve">Swann’s </w:t>
      </w:r>
      <w:r w:rsidRPr="00190299">
        <w:rPr>
          <w:lang w:val="en-US"/>
        </w:rPr>
        <w:t xml:space="preserve">Way, </w:t>
      </w:r>
      <w:r w:rsidRPr="00190299">
        <w:rPr>
          <w:i/>
          <w:lang w:val="en-US"/>
        </w:rPr>
        <w:t>Remembrance of Things Past</w:t>
      </w:r>
      <w:r w:rsidRPr="00190299">
        <w:rPr>
          <w:lang w:val="en-US"/>
        </w:rPr>
        <w:t>, Vol. I, London, Chatto &amp; Windus, 1922.</w:t>
      </w:r>
    </w:p>
  </w:endnote>
  <w:endnote w:id="10">
    <w:p w14:paraId="35732E52" w14:textId="6F6C9FE2" w:rsidR="00FC799C" w:rsidRPr="00190299" w:rsidRDefault="00FC799C" w:rsidP="00E77C32">
      <w:pPr>
        <w:pStyle w:val="Notedefin"/>
        <w:jc w:val="both"/>
        <w:rPr>
          <w:lang w:val="en-US"/>
        </w:rPr>
      </w:pPr>
      <w:r w:rsidRPr="00190299">
        <w:rPr>
          <w:rStyle w:val="Marquedenotedefin"/>
        </w:rPr>
        <w:endnoteRef/>
      </w:r>
      <w:r w:rsidRPr="00190299">
        <w:rPr>
          <w:lang w:val="en-US"/>
        </w:rPr>
        <w:t xml:space="preserve"> Virginia Woolf, </w:t>
      </w:r>
      <w:r w:rsidRPr="00190299">
        <w:rPr>
          <w:i/>
          <w:lang w:val="en-US"/>
        </w:rPr>
        <w:t>Mrs Dalloway</w:t>
      </w:r>
      <w:r w:rsidRPr="00190299">
        <w:rPr>
          <w:lang w:val="en-US"/>
        </w:rPr>
        <w:t>, London, 1982, «</w:t>
      </w:r>
      <w:r>
        <w:rPr>
          <w:lang w:val="en-US"/>
        </w:rPr>
        <w:t> </w:t>
      </w:r>
      <w:r w:rsidRPr="00190299">
        <w:rPr>
          <w:lang w:val="en-US"/>
        </w:rPr>
        <w:t xml:space="preserve">The candle was half burnt down and she had read deep in Baron Marbot’s </w:t>
      </w:r>
      <w:r w:rsidRPr="00190299">
        <w:rPr>
          <w:i/>
          <w:lang w:val="en-US"/>
        </w:rPr>
        <w:t>Memoirs</w:t>
      </w:r>
      <w:r w:rsidRPr="00347596">
        <w:rPr>
          <w:lang w:val="en-US"/>
        </w:rPr>
        <w:t> »</w:t>
      </w:r>
      <w:r w:rsidRPr="00190299">
        <w:rPr>
          <w:lang w:val="en-US"/>
        </w:rPr>
        <w:t>,29.</w:t>
      </w:r>
    </w:p>
  </w:endnote>
  <w:endnote w:id="11">
    <w:p w14:paraId="75172BAA" w14:textId="3D0FD27B" w:rsidR="00FC799C" w:rsidRPr="00190299" w:rsidRDefault="00FC799C" w:rsidP="00E77C32">
      <w:pPr>
        <w:jc w:val="both"/>
        <w:rPr>
          <w:sz w:val="20"/>
          <w:szCs w:val="20"/>
          <w:lang w:val="en-US"/>
        </w:rPr>
      </w:pPr>
      <w:r w:rsidRPr="00190299">
        <w:rPr>
          <w:rStyle w:val="Marquedenotedefin"/>
          <w:sz w:val="20"/>
          <w:szCs w:val="20"/>
        </w:rPr>
        <w:endnoteRef/>
      </w:r>
      <w:r w:rsidRPr="00190299">
        <w:rPr>
          <w:sz w:val="20"/>
          <w:szCs w:val="20"/>
          <w:lang w:val="en-US"/>
        </w:rPr>
        <w:t xml:space="preserve"> </w:t>
      </w:r>
      <w:r w:rsidRPr="00190299">
        <w:rPr>
          <w:i/>
          <w:iCs/>
          <w:sz w:val="20"/>
          <w:szCs w:val="20"/>
          <w:lang w:val="en-US"/>
        </w:rPr>
        <w:t>Id</w:t>
      </w:r>
      <w:r w:rsidRPr="00190299">
        <w:rPr>
          <w:sz w:val="20"/>
          <w:szCs w:val="20"/>
          <w:lang w:val="en-US"/>
        </w:rPr>
        <w:t xml:space="preserve">., </w:t>
      </w:r>
      <w:r w:rsidRPr="00190299">
        <w:rPr>
          <w:i/>
          <w:sz w:val="20"/>
          <w:szCs w:val="20"/>
          <w:lang w:val="en-US"/>
        </w:rPr>
        <w:t>The Years</w:t>
      </w:r>
      <w:r w:rsidRPr="00190299">
        <w:rPr>
          <w:sz w:val="20"/>
          <w:szCs w:val="20"/>
          <w:lang w:val="en-US"/>
        </w:rPr>
        <w:t>,</w:t>
      </w:r>
      <w:r w:rsidRPr="00190299">
        <w:rPr>
          <w:i/>
          <w:sz w:val="20"/>
          <w:szCs w:val="20"/>
          <w:lang w:val="en-US"/>
        </w:rPr>
        <w:t xml:space="preserve"> </w:t>
      </w:r>
      <w:r w:rsidRPr="00190299">
        <w:rPr>
          <w:lang w:val="en-US"/>
        </w:rPr>
        <w:t>«</w:t>
      </w:r>
      <w:r>
        <w:rPr>
          <w:lang w:val="en-US"/>
        </w:rPr>
        <w:t> </w:t>
      </w:r>
      <w:r w:rsidRPr="00190299">
        <w:rPr>
          <w:sz w:val="20"/>
          <w:szCs w:val="20"/>
          <w:lang w:val="en-US"/>
        </w:rPr>
        <w:t>It was difficult to fix her mind on Renan. She liked it, though. French she could read easily of course; and Italian; and a little German. But what vast gaps there were, what blank spaces</w:t>
      </w:r>
      <w:r w:rsidRPr="00347596">
        <w:rPr>
          <w:lang w:val="en-US"/>
        </w:rPr>
        <w:t> »</w:t>
      </w:r>
      <w:r w:rsidRPr="00190299">
        <w:rPr>
          <w:sz w:val="20"/>
          <w:szCs w:val="20"/>
          <w:lang w:val="en-US"/>
        </w:rPr>
        <w:t>, Oxford, Oxford World’s Classics, 1999, 148.</w:t>
      </w:r>
    </w:p>
  </w:endnote>
  <w:endnote w:id="12">
    <w:p w14:paraId="7F1A7B76" w14:textId="0D2A803C" w:rsidR="00FC799C" w:rsidRPr="00347596" w:rsidRDefault="00FC799C" w:rsidP="00E77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0299">
        <w:rPr>
          <w:rStyle w:val="Marquedenotedefin"/>
          <w:sz w:val="20"/>
          <w:szCs w:val="20"/>
        </w:rPr>
        <w:endnoteRef/>
      </w:r>
      <w:r w:rsidRPr="00190299">
        <w:rPr>
          <w:sz w:val="20"/>
          <w:szCs w:val="20"/>
          <w:lang w:val="en-US"/>
        </w:rPr>
        <w:t xml:space="preserve"> </w:t>
      </w:r>
      <w:r w:rsidRPr="00190299">
        <w:rPr>
          <w:i/>
          <w:iCs/>
          <w:sz w:val="20"/>
          <w:szCs w:val="20"/>
          <w:lang w:val="en-US"/>
        </w:rPr>
        <w:t>Id</w:t>
      </w:r>
      <w:r w:rsidRPr="00190299">
        <w:rPr>
          <w:sz w:val="20"/>
          <w:szCs w:val="20"/>
          <w:lang w:val="en-US"/>
        </w:rPr>
        <w:t>.,</w:t>
      </w:r>
      <w:r w:rsidRPr="00E77C32">
        <w:rPr>
          <w:sz w:val="20"/>
          <w:szCs w:val="20"/>
          <w:lang w:val="en-US"/>
        </w:rPr>
        <w:t xml:space="preserve"> </w:t>
      </w:r>
      <w:r w:rsidRPr="00E77C32">
        <w:rPr>
          <w:i/>
          <w:sz w:val="20"/>
          <w:szCs w:val="20"/>
          <w:lang w:val="en-US"/>
        </w:rPr>
        <w:t>Three Guineas</w:t>
      </w:r>
      <w:r w:rsidRPr="00E77C32">
        <w:rPr>
          <w:sz w:val="20"/>
          <w:szCs w:val="20"/>
          <w:lang w:val="en-US"/>
        </w:rPr>
        <w:t xml:space="preserve">, </w:t>
      </w:r>
      <w:r w:rsidRPr="00190299">
        <w:rPr>
          <w:lang w:val="en-US"/>
        </w:rPr>
        <w:t>«</w:t>
      </w:r>
      <w:r>
        <w:rPr>
          <w:lang w:val="en-US"/>
        </w:rPr>
        <w:t> </w:t>
      </w:r>
      <w:r w:rsidRPr="00E77C32">
        <w:rPr>
          <w:sz w:val="20"/>
          <w:szCs w:val="20"/>
          <w:lang w:val="en-US"/>
        </w:rPr>
        <w:t>St Paul, it is obvious, was not only a bachelor (for his relations with Lydia see Renan, Saint Paul</w:t>
      </w:r>
      <w:r w:rsidRPr="00347596">
        <w:rPr>
          <w:lang w:val="en-US"/>
        </w:rPr>
        <w:t> »</w:t>
      </w:r>
      <w:r w:rsidRPr="00E77C32">
        <w:rPr>
          <w:sz w:val="20"/>
          <w:szCs w:val="20"/>
          <w:lang w:val="en-US"/>
        </w:rPr>
        <w:t xml:space="preserve">, 149 / </w:t>
      </w:r>
      <w:r w:rsidRPr="00190299">
        <w:rPr>
          <w:sz w:val="20"/>
          <w:szCs w:val="20"/>
          <w:lang w:val="en-US"/>
        </w:rPr>
        <w:t xml:space="preserve">« ‘Est-il cependant absolument impossible que Paul ait contracté avec cette sœur une union plus intime ?  </w:t>
      </w:r>
      <w:r w:rsidRPr="00347596">
        <w:rPr>
          <w:sz w:val="20"/>
          <w:szCs w:val="20"/>
        </w:rPr>
        <w:t xml:space="preserve">On ne saurait l’affirmer’ », </w:t>
      </w:r>
      <w:r w:rsidRPr="00347596">
        <w:rPr>
          <w:i/>
          <w:sz w:val="20"/>
          <w:szCs w:val="20"/>
        </w:rPr>
        <w:t>Notes and References</w:t>
      </w:r>
      <w:r w:rsidRPr="00347596">
        <w:rPr>
          <w:sz w:val="20"/>
          <w:szCs w:val="20"/>
        </w:rPr>
        <w:t xml:space="preserve"> 2, 38 ; Harvest/HBJ, 1966, 169.</w:t>
      </w:r>
    </w:p>
  </w:endnote>
  <w:endnote w:id="13">
    <w:p w14:paraId="5C1A4C16" w14:textId="3286359F" w:rsidR="00FC799C" w:rsidRPr="00347596" w:rsidRDefault="00FC799C" w:rsidP="00E77C32">
      <w:pPr>
        <w:pStyle w:val="Notedefin"/>
        <w:jc w:val="both"/>
      </w:pPr>
      <w:r w:rsidRPr="00190299">
        <w:rPr>
          <w:rStyle w:val="Marquedenotedefin"/>
        </w:rPr>
        <w:endnoteRef/>
      </w:r>
      <w:r w:rsidRPr="00347596">
        <w:t xml:space="preserve"> </w:t>
      </w:r>
      <w:r w:rsidRPr="00347596">
        <w:rPr>
          <w:i/>
          <w:iCs/>
        </w:rPr>
        <w:t>Id</w:t>
      </w:r>
      <w:r w:rsidRPr="00347596">
        <w:t xml:space="preserve">., </w:t>
      </w:r>
      <w:r w:rsidRPr="00347596">
        <w:rPr>
          <w:i/>
        </w:rPr>
        <w:t>Jacob’s Room</w:t>
      </w:r>
      <w:r w:rsidRPr="00347596">
        <w:t>, 1922, chap. X et XI, Middlesex, Penguin 1965, 115 et 120.</w:t>
      </w:r>
    </w:p>
  </w:endnote>
  <w:endnote w:id="14">
    <w:p w14:paraId="1FF113EA" w14:textId="30BFE87F" w:rsidR="00FC799C" w:rsidRPr="00190299" w:rsidRDefault="00FC799C" w:rsidP="00E77C32">
      <w:pPr>
        <w:pStyle w:val="Notedefin"/>
        <w:jc w:val="both"/>
      </w:pPr>
      <w:r w:rsidRPr="00190299">
        <w:rPr>
          <w:rStyle w:val="Marquedenotedefin"/>
        </w:rPr>
        <w:endnoteRef/>
      </w:r>
      <w:r w:rsidRPr="00190299">
        <w:t xml:space="preserve"> Olivier Hercend, </w:t>
      </w:r>
      <w:r w:rsidRPr="00190299">
        <w:rPr>
          <w:i/>
        </w:rPr>
        <w:t>Europe, Virginia Woolf</w:t>
      </w:r>
      <w:r w:rsidRPr="00190299">
        <w:t xml:space="preserve">, 1101-1102, janvier-février 2021, coordonné par Adèle Cassigneul, </w:t>
      </w:r>
      <w:r w:rsidRPr="00347596">
        <w:t>« </w:t>
      </w:r>
      <w:r w:rsidRPr="00190299">
        <w:t>Portraits de lectrices</w:t>
      </w:r>
      <w:r w:rsidRPr="00347596">
        <w:t> »</w:t>
      </w:r>
      <w:r w:rsidRPr="00190299">
        <w:t>, 62-67.</w:t>
      </w:r>
    </w:p>
  </w:endnote>
  <w:endnote w:id="15">
    <w:p w14:paraId="7E95AD34" w14:textId="5A862362" w:rsidR="00FC799C" w:rsidRPr="00190299" w:rsidRDefault="00FC799C" w:rsidP="00E77C32">
      <w:pPr>
        <w:jc w:val="both"/>
      </w:pPr>
      <w:r w:rsidRPr="00190299">
        <w:rPr>
          <w:rStyle w:val="Marquedenotedefin"/>
        </w:rPr>
        <w:endnoteRef/>
      </w:r>
      <w:r w:rsidRPr="00190299">
        <w:rPr>
          <w:lang w:val="en-US"/>
        </w:rPr>
        <w:t xml:space="preserve"> </w:t>
      </w:r>
      <w:r w:rsidRPr="00190299">
        <w:rPr>
          <w:sz w:val="20"/>
          <w:szCs w:val="20"/>
          <w:lang w:val="en-US"/>
        </w:rPr>
        <w:t xml:space="preserve">Virginia Woolf, </w:t>
      </w:r>
      <w:r w:rsidRPr="00190299">
        <w:rPr>
          <w:i/>
          <w:sz w:val="20"/>
          <w:szCs w:val="20"/>
          <w:lang w:val="en-US"/>
        </w:rPr>
        <w:t>Between the Acts</w:t>
      </w:r>
      <w:r w:rsidRPr="00190299">
        <w:rPr>
          <w:sz w:val="20"/>
          <w:szCs w:val="20"/>
          <w:lang w:val="en-US"/>
        </w:rPr>
        <w:t>, 1941, « “like Venus” he thought, making a rough translation, “to her prey.</w:t>
      </w:r>
      <w:r>
        <w:rPr>
          <w:sz w:val="20"/>
          <w:szCs w:val="20"/>
          <w:lang w:val="en-US"/>
        </w:rPr>
        <w:t>.</w:t>
      </w:r>
      <w:r w:rsidRPr="00190299">
        <w:rPr>
          <w:sz w:val="20"/>
          <w:szCs w:val="20"/>
          <w:lang w:val="en-US"/>
        </w:rPr>
        <w:t>.”</w:t>
      </w:r>
      <w:r w:rsidRPr="00E77C32">
        <w:rPr>
          <w:sz w:val="20"/>
          <w:szCs w:val="20"/>
          <w:lang w:val="en-US"/>
        </w:rPr>
        <w:t> </w:t>
      </w:r>
      <w:r w:rsidRPr="00347596">
        <w:rPr>
          <w:sz w:val="20"/>
          <w:szCs w:val="20"/>
        </w:rPr>
        <w:t>» « </w:t>
      </w:r>
      <w:r w:rsidRPr="00190299">
        <w:rPr>
          <w:sz w:val="20"/>
          <w:szCs w:val="20"/>
        </w:rPr>
        <w:t>The Present Day</w:t>
      </w:r>
      <w:r w:rsidRPr="00347596">
        <w:rPr>
          <w:sz w:val="20"/>
          <w:szCs w:val="20"/>
        </w:rPr>
        <w:t> »</w:t>
      </w:r>
      <w:r w:rsidRPr="00190299">
        <w:rPr>
          <w:color w:val="000000" w:themeColor="text1"/>
          <w:sz w:val="20"/>
          <w:szCs w:val="20"/>
        </w:rPr>
        <w:t>, London, Penguin, 2000, 123.</w:t>
      </w:r>
    </w:p>
  </w:endnote>
  <w:endnote w:id="16">
    <w:p w14:paraId="7ECA40CA" w14:textId="4F582484" w:rsidR="00FC799C" w:rsidRPr="00347596" w:rsidRDefault="00FC799C" w:rsidP="004E35E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90299">
        <w:rPr>
          <w:rStyle w:val="Marquedenotedefin"/>
          <w:sz w:val="20"/>
          <w:szCs w:val="20"/>
        </w:rPr>
        <w:endnoteRef/>
      </w:r>
      <w:r w:rsidRPr="00190299">
        <w:rPr>
          <w:sz w:val="20"/>
          <w:szCs w:val="20"/>
        </w:rPr>
        <w:t xml:space="preserve"> </w:t>
      </w:r>
      <w:r w:rsidRPr="00190299">
        <w:rPr>
          <w:i/>
          <w:iCs/>
          <w:kern w:val="3"/>
          <w:sz w:val="20"/>
          <w:szCs w:val="20"/>
          <w:shd w:val="clear" w:color="auto" w:fill="FFFFFF"/>
          <w:lang w:eastAsia="zh-CN" w:bidi="hi-IN"/>
        </w:rPr>
        <w:t>Id</w:t>
      </w:r>
      <w:r w:rsidRPr="00190299">
        <w:rPr>
          <w:kern w:val="3"/>
          <w:sz w:val="20"/>
          <w:szCs w:val="20"/>
          <w:shd w:val="clear" w:color="auto" w:fill="FFFFFF"/>
          <w:lang w:eastAsia="zh-CN" w:bidi="hi-IN"/>
        </w:rPr>
        <w:t xml:space="preserve">., </w:t>
      </w:r>
      <w:r w:rsidRPr="00190299">
        <w:rPr>
          <w:i/>
          <w:kern w:val="3"/>
          <w:sz w:val="20"/>
          <w:szCs w:val="20"/>
          <w:shd w:val="clear" w:color="auto" w:fill="FFFFFF"/>
          <w:lang w:eastAsia="zh-CN" w:bidi="hi-IN"/>
        </w:rPr>
        <w:t xml:space="preserve">Le temps passe, </w:t>
      </w:r>
      <w:r w:rsidRPr="00190299">
        <w:rPr>
          <w:kern w:val="3"/>
          <w:sz w:val="20"/>
          <w:szCs w:val="20"/>
          <w:shd w:val="clear" w:color="auto" w:fill="FFFFFF"/>
          <w:lang w:eastAsia="zh-CN" w:bidi="hi-IN"/>
        </w:rPr>
        <w:t xml:space="preserve">tr. Charles Mauron (1926), postface James M. Taule, Le bruit du temps, 2010. </w:t>
      </w:r>
      <w:r w:rsidRPr="00190299">
        <w:rPr>
          <w:sz w:val="20"/>
          <w:szCs w:val="20"/>
          <w:lang w:val="en-US"/>
        </w:rPr>
        <w:t>Jane Goldman</w:t>
      </w:r>
      <w:r w:rsidRPr="00E77C32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190299">
        <w:rPr>
          <w:sz w:val="20"/>
          <w:szCs w:val="20"/>
          <w:lang w:val="en-US"/>
        </w:rPr>
        <w:t>« </w:t>
      </w:r>
      <w:r w:rsidRPr="00E77C32">
        <w:rPr>
          <w:sz w:val="20"/>
          <w:szCs w:val="20"/>
          <w:lang w:val="en-US"/>
        </w:rPr>
        <w:t xml:space="preserve">Translation, Secondary Rendering, and Textual Genesis; ‘Sharp-edged furniture’, ‘Thorns’ and ‘Charms’: ‘Time Passes’ between ‘Le Temps Passe’ and ‘Time Passes’ », in </w:t>
      </w:r>
      <w:r w:rsidRPr="00E77C32">
        <w:rPr>
          <w:i/>
          <w:sz w:val="20"/>
          <w:szCs w:val="20"/>
          <w:lang w:val="en-US"/>
        </w:rPr>
        <w:t>Trans-Woolf</w:t>
      </w:r>
      <w:r w:rsidRPr="00E77C32">
        <w:rPr>
          <w:sz w:val="20"/>
          <w:szCs w:val="20"/>
          <w:lang w:val="en-US"/>
        </w:rPr>
        <w:t>, ed. Claire Davison, Anne-Marie Smith-Di Biasio, Perugia, Morlacchi Press, 2018, 97-121. Kimberley Engdahl Coates</w:t>
      </w:r>
      <w:r>
        <w:rPr>
          <w:sz w:val="20"/>
          <w:szCs w:val="20"/>
          <w:lang w:val="en-US"/>
        </w:rPr>
        <w:t> </w:t>
      </w:r>
      <w:r w:rsidRPr="00E77C32">
        <w:rPr>
          <w:sz w:val="20"/>
          <w:szCs w:val="20"/>
          <w:lang w:val="en-US"/>
        </w:rPr>
        <w:t xml:space="preserve">: </w:t>
      </w:r>
      <w:r w:rsidRPr="00190299">
        <w:rPr>
          <w:sz w:val="20"/>
          <w:szCs w:val="20"/>
          <w:lang w:val="en-US"/>
        </w:rPr>
        <w:t>« </w:t>
      </w:r>
      <w:r w:rsidRPr="00E77C32">
        <w:rPr>
          <w:sz w:val="20"/>
          <w:szCs w:val="20"/>
          <w:lang w:val="en-US"/>
        </w:rPr>
        <w:t>Exposing the ‘Nerves of Language’: Virginia Woolf, Charles Mauron, and the Affinity between Aesthetics and Illness »</w:t>
      </w:r>
      <w:r>
        <w:rPr>
          <w:sz w:val="20"/>
          <w:szCs w:val="20"/>
          <w:lang w:val="en-US"/>
        </w:rPr>
        <w:t>,</w:t>
      </w:r>
      <w:r w:rsidRPr="00E77C32">
        <w:rPr>
          <w:sz w:val="20"/>
          <w:szCs w:val="20"/>
          <w:lang w:val="en-US"/>
        </w:rPr>
        <w:t xml:space="preserve"> </w:t>
      </w:r>
      <w:r w:rsidRPr="00E77C32">
        <w:rPr>
          <w:i/>
          <w:iCs/>
          <w:sz w:val="20"/>
          <w:szCs w:val="20"/>
          <w:lang w:val="en-US"/>
        </w:rPr>
        <w:t>Literature and Medicine</w:t>
      </w:r>
      <w:r w:rsidRPr="00E77C32">
        <w:rPr>
          <w:sz w:val="20"/>
          <w:szCs w:val="20"/>
          <w:lang w:val="en-US"/>
        </w:rPr>
        <w:t xml:space="preserve"> 21</w:t>
      </w:r>
      <w:r>
        <w:rPr>
          <w:sz w:val="20"/>
          <w:szCs w:val="20"/>
          <w:lang w:val="en-US"/>
        </w:rPr>
        <w:t>.</w:t>
      </w:r>
      <w:r w:rsidRPr="00E77C32">
        <w:rPr>
          <w:sz w:val="20"/>
          <w:szCs w:val="20"/>
          <w:lang w:val="en-US"/>
        </w:rPr>
        <w:t xml:space="preserve"> </w:t>
      </w:r>
      <w:r w:rsidRPr="00347596">
        <w:rPr>
          <w:sz w:val="20"/>
          <w:szCs w:val="20"/>
        </w:rPr>
        <w:t>2 (2002), 242-263.</w:t>
      </w:r>
    </w:p>
  </w:endnote>
  <w:endnote w:id="17">
    <w:p w14:paraId="3024898F" w14:textId="77777777" w:rsidR="00FC799C" w:rsidRPr="00E77C32" w:rsidRDefault="00FC799C" w:rsidP="004E35E2">
      <w:pPr>
        <w:pStyle w:val="Notedefin"/>
        <w:jc w:val="both"/>
      </w:pPr>
      <w:r w:rsidRPr="00E77C32">
        <w:rPr>
          <w:rStyle w:val="Marquedenotedefin"/>
        </w:rPr>
        <w:endnoteRef/>
      </w:r>
      <w:r w:rsidRPr="00E77C32">
        <w:t xml:space="preserve"> Charles Mauron, </w:t>
      </w:r>
      <w:r w:rsidRPr="00E77C32">
        <w:rPr>
          <w:i/>
        </w:rPr>
        <w:t>Des métaphores obsédantes au mythe personnel</w:t>
      </w:r>
      <w:r w:rsidRPr="00E77C32">
        <w:t>, Paris, José Corti, 1963.</w:t>
      </w:r>
    </w:p>
  </w:endnote>
  <w:endnote w:id="18">
    <w:p w14:paraId="04BDF650" w14:textId="037DBD10" w:rsidR="00FC799C" w:rsidRPr="00E77C32" w:rsidRDefault="00FC799C" w:rsidP="004E35E2">
      <w:pPr>
        <w:pStyle w:val="Notedefin"/>
        <w:jc w:val="both"/>
      </w:pPr>
      <w:r w:rsidRPr="00E77C32">
        <w:rPr>
          <w:rStyle w:val="Marquedenotedefin"/>
        </w:rPr>
        <w:endnoteRef/>
      </w:r>
      <w:r w:rsidRPr="00E77C32">
        <w:t xml:space="preserve"> Marguerite Yourcenar, </w:t>
      </w:r>
      <w:r w:rsidRPr="00E77C32">
        <w:rPr>
          <w:i/>
        </w:rPr>
        <w:t xml:space="preserve">Les Vagues, </w:t>
      </w:r>
      <w:r w:rsidRPr="00E77C32">
        <w:t xml:space="preserve">Paris, Stock, 1936. Voir Anne-Marie Di Biasio, « Passages dérobés : La traduction du poétique : </w:t>
      </w:r>
      <w:r w:rsidRPr="00E77C32">
        <w:rPr>
          <w:i/>
          <w:iCs/>
        </w:rPr>
        <w:t>The Waves</w:t>
      </w:r>
      <w:r w:rsidRPr="00E77C32">
        <w:t xml:space="preserve">, Virginia Woolf, </w:t>
      </w:r>
      <w:r w:rsidRPr="00E77C32">
        <w:rPr>
          <w:i/>
          <w:iCs/>
        </w:rPr>
        <w:t xml:space="preserve">Les Vagues, </w:t>
      </w:r>
      <w:r w:rsidRPr="00E77C32">
        <w:t>Marguerite Yourcenar »,</w:t>
      </w:r>
      <w:r>
        <w:t xml:space="preserve"> ed.</w:t>
      </w:r>
      <w:r w:rsidRPr="00E77C32">
        <w:t xml:space="preserve"> Chantal Foucrier et Daniel Mortier, </w:t>
      </w:r>
      <w:r w:rsidRPr="00E77C32">
        <w:rPr>
          <w:i/>
          <w:iCs/>
        </w:rPr>
        <w:t>Frontières et passages : les échanges culturels et littéraires</w:t>
      </w:r>
      <w:r w:rsidRPr="00E77C32">
        <w:t>, Presses Universitaires de Rouen, 1999, 47-55.</w:t>
      </w:r>
    </w:p>
  </w:endnote>
  <w:endnote w:id="19">
    <w:p w14:paraId="20AFA247" w14:textId="6AEC975C" w:rsidR="00FC799C" w:rsidRPr="00474577" w:rsidRDefault="00FC799C" w:rsidP="004E35E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77C32">
        <w:rPr>
          <w:rStyle w:val="Marquedenotedefin"/>
          <w:sz w:val="20"/>
          <w:szCs w:val="20"/>
        </w:rPr>
        <w:endnoteRef/>
      </w:r>
      <w:r w:rsidRPr="00E77C32">
        <w:rPr>
          <w:sz w:val="20"/>
          <w:szCs w:val="20"/>
          <w:lang w:val="en-US"/>
        </w:rPr>
        <w:t xml:space="preserve"> </w:t>
      </w:r>
      <w:r w:rsidRPr="00E77C32">
        <w:rPr>
          <w:i/>
          <w:iCs/>
          <w:sz w:val="20"/>
          <w:szCs w:val="20"/>
          <w:lang w:val="en-US"/>
        </w:rPr>
        <w:t>The Reception of Virginia Woolf in Europe</w:t>
      </w:r>
      <w:r w:rsidRPr="00E77C32">
        <w:rPr>
          <w:sz w:val="20"/>
          <w:szCs w:val="20"/>
          <w:lang w:val="en-US"/>
        </w:rPr>
        <w:t xml:space="preserve">, ed. Mary Ann Caws &amp; Nicola Luckhurst, </w:t>
      </w:r>
      <w:r w:rsidRPr="00190299">
        <w:rPr>
          <w:sz w:val="20"/>
          <w:szCs w:val="20"/>
          <w:lang w:val="en-US"/>
        </w:rPr>
        <w:t xml:space="preserve">London, Continuum Press, 2002. </w:t>
      </w:r>
      <w:r w:rsidRPr="00E77C32">
        <w:rPr>
          <w:sz w:val="20"/>
          <w:szCs w:val="20"/>
        </w:rPr>
        <w:t xml:space="preserve">Anne-Laure Rigeade, </w:t>
      </w:r>
      <w:r w:rsidRPr="00347596">
        <w:rPr>
          <w:sz w:val="20"/>
          <w:szCs w:val="20"/>
        </w:rPr>
        <w:t>« </w:t>
      </w:r>
      <w:r w:rsidRPr="00E77C32">
        <w:rPr>
          <w:i/>
          <w:sz w:val="20"/>
          <w:szCs w:val="20"/>
        </w:rPr>
        <w:t>Three Guineas</w:t>
      </w:r>
      <w:r w:rsidRPr="00E77C32">
        <w:rPr>
          <w:sz w:val="20"/>
          <w:szCs w:val="20"/>
        </w:rPr>
        <w:t xml:space="preserve"> / Trois Guinées ou la question de la traduction », in </w:t>
      </w:r>
      <w:r w:rsidRPr="00E77C32">
        <w:rPr>
          <w:i/>
          <w:sz w:val="20"/>
          <w:szCs w:val="20"/>
        </w:rPr>
        <w:t>Trans-Woolf</w:t>
      </w:r>
      <w:r w:rsidRPr="00E77C32">
        <w:rPr>
          <w:sz w:val="20"/>
          <w:szCs w:val="20"/>
        </w:rPr>
        <w:t>, ed. Claire Davison, Anne-Marie Smith-Di Biasio, Perugia, Morlacchi Press, 2018.</w:t>
      </w:r>
    </w:p>
  </w:endnote>
  <w:endnote w:id="20">
    <w:p w14:paraId="0CF14EB8" w14:textId="11C61C98" w:rsidR="00FC799C" w:rsidRPr="00E77C32" w:rsidRDefault="00FC799C" w:rsidP="00E77C32">
      <w:pPr>
        <w:jc w:val="both"/>
      </w:pPr>
      <w:r w:rsidRPr="00E77C32">
        <w:rPr>
          <w:rStyle w:val="Marquedenotedefin"/>
          <w:sz w:val="20"/>
          <w:szCs w:val="20"/>
        </w:rPr>
        <w:endnoteRef/>
      </w:r>
      <w:r w:rsidRPr="00E77C32">
        <w:rPr>
          <w:sz w:val="20"/>
          <w:szCs w:val="20"/>
        </w:rPr>
        <w:t xml:space="preserve"> Françoise Pellan, </w:t>
      </w:r>
      <w:r w:rsidR="003C1C78">
        <w:rPr>
          <w:i/>
          <w:iCs/>
          <w:sz w:val="20"/>
          <w:szCs w:val="20"/>
        </w:rPr>
        <w:t>Virginia Woolf : l’</w:t>
      </w:r>
      <w:r w:rsidRPr="00E77C32">
        <w:rPr>
          <w:i/>
          <w:iCs/>
          <w:sz w:val="20"/>
          <w:szCs w:val="20"/>
        </w:rPr>
        <w:t xml:space="preserve">Ancrage et le </w:t>
      </w:r>
      <w:r w:rsidRPr="00E77C32">
        <w:rPr>
          <w:iCs/>
          <w:sz w:val="20"/>
          <w:szCs w:val="20"/>
        </w:rPr>
        <w:t xml:space="preserve">Voyage, </w:t>
      </w:r>
      <w:r w:rsidRPr="00E77C32">
        <w:rPr>
          <w:sz w:val="20"/>
          <w:szCs w:val="20"/>
        </w:rPr>
        <w:t xml:space="preserve">Presses Universitaires de Lyon, </w:t>
      </w:r>
      <w:r w:rsidRPr="00E77C32">
        <w:rPr>
          <w:iCs/>
          <w:sz w:val="20"/>
          <w:szCs w:val="20"/>
        </w:rPr>
        <w:t xml:space="preserve">1994. </w:t>
      </w:r>
      <w:r w:rsidRPr="00E77C32">
        <w:rPr>
          <w:sz w:val="20"/>
          <w:szCs w:val="20"/>
        </w:rPr>
        <w:t xml:space="preserve">Françoise Defromont, </w:t>
      </w:r>
      <w:r w:rsidRPr="00E77C32">
        <w:rPr>
          <w:i/>
          <w:sz w:val="20"/>
          <w:szCs w:val="20"/>
        </w:rPr>
        <w:t>Vers la maison de lumière</w:t>
      </w:r>
      <w:r w:rsidRPr="00E77C32">
        <w:rPr>
          <w:sz w:val="20"/>
          <w:szCs w:val="20"/>
        </w:rPr>
        <w:t xml:space="preserve">, Éditions des femmes, 1985. Anne-Marie Di Biasio, </w:t>
      </w:r>
      <w:r w:rsidRPr="00E77C32">
        <w:rPr>
          <w:i/>
          <w:sz w:val="20"/>
          <w:szCs w:val="20"/>
        </w:rPr>
        <w:t>Virginia Woolf, La hantise de l’écritur</w:t>
      </w:r>
      <w:r w:rsidRPr="00E77C32">
        <w:rPr>
          <w:sz w:val="20"/>
          <w:szCs w:val="20"/>
        </w:rPr>
        <w:t xml:space="preserve">e, Indigo &amp; côté-femmes, 2010. </w:t>
      </w:r>
      <w:r w:rsidRPr="00E77C32">
        <w:rPr>
          <w:sz w:val="20"/>
          <w:szCs w:val="20"/>
          <w:lang w:val="en-US"/>
        </w:rPr>
        <w:t xml:space="preserve">Françoise Pellan, </w:t>
      </w:r>
      <w:r w:rsidRPr="00190299">
        <w:rPr>
          <w:sz w:val="20"/>
          <w:szCs w:val="20"/>
          <w:lang w:val="en-US"/>
        </w:rPr>
        <w:t>« </w:t>
      </w:r>
      <w:r w:rsidRPr="00E77C32">
        <w:rPr>
          <w:sz w:val="20"/>
          <w:szCs w:val="20"/>
          <w:lang w:val="en-US"/>
        </w:rPr>
        <w:t>Translating Virginia Woolf into French</w:t>
      </w:r>
      <w:r w:rsidRPr="00347596">
        <w:rPr>
          <w:lang w:val="en-US"/>
        </w:rPr>
        <w:t> »</w:t>
      </w:r>
      <w:r w:rsidRPr="00E77C32">
        <w:rPr>
          <w:sz w:val="20"/>
          <w:szCs w:val="20"/>
          <w:lang w:val="en-US"/>
        </w:rPr>
        <w:t xml:space="preserve"> in </w:t>
      </w:r>
      <w:r w:rsidRPr="00E77C32">
        <w:rPr>
          <w:i/>
          <w:iCs/>
          <w:sz w:val="20"/>
          <w:szCs w:val="20"/>
          <w:lang w:val="en-US"/>
        </w:rPr>
        <w:t>The Reception of Virginia Woolf in Europe</w:t>
      </w:r>
      <w:r w:rsidRPr="00E77C32">
        <w:rPr>
          <w:sz w:val="20"/>
          <w:szCs w:val="20"/>
          <w:lang w:val="en-US"/>
        </w:rPr>
        <w:t xml:space="preserve">, ed. </w:t>
      </w:r>
      <w:r w:rsidRPr="00E77C32">
        <w:rPr>
          <w:sz w:val="20"/>
          <w:szCs w:val="20"/>
        </w:rPr>
        <w:t>Mary Ann Caws &amp; Nicola Luckhurst. London, Continuum Press, 2002.</w:t>
      </w:r>
    </w:p>
  </w:endnote>
  <w:endnote w:id="21">
    <w:p w14:paraId="7627BC14" w14:textId="47CA41C0" w:rsidR="00FC799C" w:rsidRPr="00E77C32" w:rsidRDefault="00FC799C" w:rsidP="00E77C32">
      <w:pPr>
        <w:pStyle w:val="Notedefin"/>
        <w:jc w:val="both"/>
      </w:pPr>
      <w:r w:rsidRPr="00E77C32">
        <w:rPr>
          <w:rStyle w:val="Marquedenotedefin"/>
        </w:rPr>
        <w:endnoteRef/>
      </w:r>
      <w:r w:rsidRPr="00E77C32">
        <w:t xml:space="preserve"> Annie Ernaux, « Le gouffre du temps », </w:t>
      </w:r>
      <w:r w:rsidRPr="00E77C32">
        <w:rPr>
          <w:i/>
          <w:iCs/>
        </w:rPr>
        <w:t>Europe – Virginia Woolf</w:t>
      </w:r>
      <w:r w:rsidRPr="00E77C32">
        <w:t xml:space="preserve">, Adèle Cassigneul (dir), n°1101-1102, Janvier-Février 2021, 21-23. Anne Besnault, « Tuer encore et toujours ‘l’ange du foyer’ » ; Suzel Meyer, « Traverser les années. Virginia Woolf et Annie Ernaux », </w:t>
      </w:r>
      <w:r w:rsidRPr="00E77C32">
        <w:rPr>
          <w:i/>
        </w:rPr>
        <w:t>Europe, Virginia Woolf</w:t>
      </w:r>
      <w:r w:rsidRPr="00E77C32">
        <w:t>, 1101-1102, janvier-février 2021, coordonné par Adèle Cassigneul, 155-168 ; 151-155.</w:t>
      </w:r>
      <w:r>
        <w:t xml:space="preserve"> </w:t>
      </w:r>
      <w:r w:rsidRPr="00E77C32">
        <w:t xml:space="preserve">Anne-Laure Rigeade, « Le travail du commun : retours de </w:t>
      </w:r>
      <w:r w:rsidRPr="00E77C32">
        <w:rPr>
          <w:i/>
          <w:iCs/>
        </w:rPr>
        <w:t>Mrs Dalloway</w:t>
      </w:r>
      <w:r w:rsidRPr="00E77C32">
        <w:t xml:space="preserve"> dans </w:t>
      </w:r>
      <w:r w:rsidRPr="00E77C32">
        <w:rPr>
          <w:i/>
          <w:iCs/>
        </w:rPr>
        <w:t>Les Veilleurs de chagrin</w:t>
      </w:r>
      <w:r w:rsidRPr="00E77C32">
        <w:t xml:space="preserve"> de Nicole Roland », </w:t>
      </w:r>
      <w:r w:rsidRPr="00347596">
        <w:rPr>
          <w:i/>
        </w:rPr>
        <w:t>Études britanniques contemporaines</w:t>
      </w:r>
      <w:r>
        <w:t xml:space="preserve">, </w:t>
      </w:r>
      <w:r w:rsidRPr="00E77C32">
        <w:t xml:space="preserve">n°48, June 2015, </w:t>
      </w:r>
      <w:r w:rsidRPr="00E77C32">
        <w:rPr>
          <w:rStyle w:val="Accentuation"/>
        </w:rPr>
        <w:t>Outlanding Woolf</w:t>
      </w:r>
      <w:r w:rsidRPr="00E77C32">
        <w:t xml:space="preserve">, </w:t>
      </w:r>
      <w:r>
        <w:t>ed</w:t>
      </w:r>
      <w:r w:rsidRPr="00E77C32">
        <w:t>. C. Davison et A.-M. Smith Di Biasio.</w:t>
      </w:r>
    </w:p>
  </w:endnote>
  <w:endnote w:id="22">
    <w:p w14:paraId="2C1AEB1F" w14:textId="1EFCCC58" w:rsidR="00FC799C" w:rsidRPr="00347596" w:rsidRDefault="00FC799C" w:rsidP="00347596">
      <w:pPr>
        <w:jc w:val="both"/>
        <w:rPr>
          <w:sz w:val="20"/>
          <w:szCs w:val="20"/>
        </w:rPr>
      </w:pPr>
      <w:r w:rsidRPr="00580F84">
        <w:rPr>
          <w:rStyle w:val="Marquedenotedefin"/>
          <w:color w:val="000000" w:themeColor="text1"/>
          <w:sz w:val="20"/>
          <w:szCs w:val="20"/>
        </w:rPr>
        <w:endnoteRef/>
      </w:r>
      <w:r w:rsidRPr="00580F84">
        <w:rPr>
          <w:color w:val="000000" w:themeColor="text1"/>
          <w:sz w:val="20"/>
          <w:szCs w:val="20"/>
        </w:rPr>
        <w:t xml:space="preserve"> </w:t>
      </w:r>
      <w:r w:rsidRPr="008A6ACB">
        <w:rPr>
          <w:color w:val="000000" w:themeColor="text1"/>
          <w:sz w:val="20"/>
          <w:szCs w:val="20"/>
        </w:rPr>
        <w:t xml:space="preserve">Naomi Toth, </w:t>
      </w:r>
      <w:r w:rsidRPr="008A6ACB">
        <w:rPr>
          <w:i/>
          <w:iCs/>
          <w:color w:val="000000" w:themeColor="text1"/>
          <w:sz w:val="20"/>
          <w:szCs w:val="20"/>
        </w:rPr>
        <w:t>L’Écriture vive : Woolf, Sarraute, une autre phénoménologie de la perception</w:t>
      </w:r>
      <w:r w:rsidRPr="008A6ACB">
        <w:rPr>
          <w:color w:val="000000" w:themeColor="text1"/>
          <w:sz w:val="20"/>
          <w:szCs w:val="20"/>
        </w:rPr>
        <w:t xml:space="preserve">, Paris, Classiques Garnier, coll. Perspectives comparatistes, </w:t>
      </w:r>
      <w:r w:rsidRPr="00C31205">
        <w:rPr>
          <w:color w:val="000000" w:themeColor="text1"/>
          <w:sz w:val="20"/>
          <w:szCs w:val="20"/>
        </w:rPr>
        <w:t xml:space="preserve">« </w:t>
      </w:r>
      <w:r w:rsidRPr="008A6ACB">
        <w:rPr>
          <w:color w:val="000000" w:themeColor="text1"/>
          <w:sz w:val="20"/>
          <w:szCs w:val="20"/>
        </w:rPr>
        <w:t>Modernités et avant-gardes</w:t>
      </w:r>
      <w:r w:rsidRPr="00C31205">
        <w:rPr>
          <w:color w:val="000000" w:themeColor="text1"/>
          <w:sz w:val="20"/>
          <w:szCs w:val="20"/>
        </w:rPr>
        <w:t xml:space="preserve"> »</w:t>
      </w:r>
      <w:r w:rsidRPr="008A6ACB">
        <w:rPr>
          <w:color w:val="000000" w:themeColor="text1"/>
          <w:sz w:val="20"/>
          <w:szCs w:val="20"/>
        </w:rPr>
        <w:t xml:space="preserve">, 2016. </w:t>
      </w:r>
      <w:r w:rsidRPr="00C31205">
        <w:rPr>
          <w:color w:val="000000" w:themeColor="text1"/>
          <w:sz w:val="20"/>
          <w:szCs w:val="20"/>
        </w:rPr>
        <w:t xml:space="preserve">« </w:t>
      </w:r>
      <w:hyperlink w:history="1">
        <w:r w:rsidRPr="008F0C72">
          <w:rPr>
            <w:rStyle w:val="Lienhypertexte"/>
            <w:color w:val="000000" w:themeColor="text1"/>
            <w:sz w:val="20"/>
            <w:szCs w:val="20"/>
            <w:u w:val="none"/>
          </w:rPr>
          <w:t>Écrire contre l’évidence. Lire Nathalie Sarraute sur et avec Virginia Woolf</w:t>
        </w:r>
        <w:r w:rsidRPr="008F0C72">
          <w:rPr>
            <w:color w:val="000000" w:themeColor="text1"/>
            <w:sz w:val="20"/>
            <w:szCs w:val="20"/>
          </w:rPr>
          <w:t> »</w:t>
        </w:r>
        <w:r w:rsidRPr="008F0C72">
          <w:rPr>
            <w:rStyle w:val="Lienhypertexte"/>
            <w:color w:val="000000" w:themeColor="text1"/>
            <w:sz w:val="20"/>
            <w:szCs w:val="20"/>
            <w:u w:val="none"/>
          </w:rPr>
          <w:t xml:space="preserve">, </w:t>
        </w:r>
        <w:r w:rsidRPr="008F0C72">
          <w:rPr>
            <w:rStyle w:val="Accentuation"/>
            <w:color w:val="000000" w:themeColor="text1"/>
            <w:sz w:val="20"/>
            <w:szCs w:val="20"/>
          </w:rPr>
          <w:t>Études britanniques contemporaines</w:t>
        </w:r>
      </w:hyperlink>
      <w:r w:rsidRPr="008F0C72">
        <w:rPr>
          <w:color w:val="000000" w:themeColor="text1"/>
          <w:sz w:val="20"/>
          <w:szCs w:val="20"/>
        </w:rPr>
        <w:t xml:space="preserve">, n°48, June 2015, </w:t>
      </w:r>
      <w:r w:rsidRPr="008F0C72">
        <w:rPr>
          <w:rStyle w:val="Accentuation"/>
          <w:color w:val="000000" w:themeColor="text1"/>
          <w:sz w:val="20"/>
          <w:szCs w:val="20"/>
        </w:rPr>
        <w:t>Outlanding Woolf</w:t>
      </w:r>
      <w:r w:rsidRPr="008F0C72">
        <w:rPr>
          <w:color w:val="000000" w:themeColor="text1"/>
          <w:sz w:val="20"/>
          <w:szCs w:val="20"/>
        </w:rPr>
        <w:t>, dir. C. Davison et A.-M. Smith Di Biasio. </w:t>
      </w:r>
      <w:r w:rsidRPr="00347596">
        <w:rPr>
          <w:sz w:val="20"/>
          <w:szCs w:val="20"/>
        </w:rPr>
        <w:t xml:space="preserve">Anne-Laure Rigeade, « Penser le contemporain avec Virginia Woolf et Nathalie Sarraute », </w:t>
      </w:r>
      <w:r w:rsidRPr="00347596">
        <w:rPr>
          <w:i/>
          <w:iCs/>
          <w:sz w:val="20"/>
          <w:szCs w:val="20"/>
        </w:rPr>
        <w:t>Contemporary Woolf, Woolf contemporaine</w:t>
      </w:r>
      <w:r w:rsidRPr="00347596">
        <w:rPr>
          <w:sz w:val="20"/>
          <w:szCs w:val="20"/>
        </w:rPr>
        <w:t>, dir. Claire Davison et Anne-Marie Smith-Di Biasio, Presses universitaires de la Méditerranée, 2014, 223-233.</w:t>
      </w:r>
    </w:p>
  </w:endnote>
  <w:endnote w:id="23">
    <w:p w14:paraId="3410B3F1" w14:textId="6337FDB8" w:rsidR="00FC799C" w:rsidRPr="00580F84" w:rsidRDefault="00FC799C" w:rsidP="00D418C1">
      <w:pPr>
        <w:pStyle w:val="Titre1"/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8F0C72">
        <w:rPr>
          <w:rStyle w:val="Marquedenotedefin"/>
          <w:b w:val="0"/>
          <w:color w:val="000000" w:themeColor="text1"/>
          <w:sz w:val="20"/>
          <w:szCs w:val="20"/>
        </w:rPr>
        <w:endnoteRef/>
      </w:r>
      <w:r w:rsidRPr="008F0C72">
        <w:rPr>
          <w:b w:val="0"/>
          <w:color w:val="000000" w:themeColor="text1"/>
          <w:sz w:val="20"/>
          <w:szCs w:val="20"/>
        </w:rPr>
        <w:t xml:space="preserve"> Derek Ryan, « </w:t>
      </w:r>
      <w:r w:rsidRPr="008F0C72">
        <w:rPr>
          <w:rStyle w:val="text"/>
          <w:b w:val="0"/>
          <w:color w:val="000000" w:themeColor="text1"/>
          <w:sz w:val="20"/>
          <w:szCs w:val="20"/>
        </w:rPr>
        <w:t>Des animaux ordinaires ou étrangers ? Territ</w:t>
      </w:r>
      <w:r w:rsidRPr="008A6ACB">
        <w:rPr>
          <w:rStyle w:val="text"/>
          <w:b w:val="0"/>
          <w:color w:val="000000" w:themeColor="text1"/>
          <w:sz w:val="20"/>
          <w:szCs w:val="20"/>
        </w:rPr>
        <w:t xml:space="preserve">oires bovins entre Woolf et Deleuze », trad. Nicolas Boileau, </w:t>
      </w:r>
      <w:hyperlink w:history="1">
        <w:r w:rsidRPr="008A6ACB">
          <w:rPr>
            <w:rStyle w:val="Accentuation"/>
            <w:b w:val="0"/>
            <w:color w:val="000000" w:themeColor="text1"/>
            <w:sz w:val="20"/>
            <w:szCs w:val="20"/>
          </w:rPr>
          <w:t>Études britanniques contemporaines</w:t>
        </w:r>
      </w:hyperlink>
      <w:r w:rsidRPr="008A6ACB">
        <w:rPr>
          <w:b w:val="0"/>
          <w:i/>
          <w:color w:val="000000" w:themeColor="text1"/>
          <w:sz w:val="20"/>
          <w:szCs w:val="20"/>
        </w:rPr>
        <w:t>,</w:t>
      </w:r>
      <w:r w:rsidRPr="008A6ACB">
        <w:rPr>
          <w:b w:val="0"/>
          <w:color w:val="000000" w:themeColor="text1"/>
          <w:sz w:val="20"/>
          <w:szCs w:val="20"/>
        </w:rPr>
        <w:t xml:space="preserve"> n°48, June 2015</w:t>
      </w:r>
      <w:r>
        <w:rPr>
          <w:b w:val="0"/>
          <w:color w:val="000000" w:themeColor="text1"/>
          <w:sz w:val="20"/>
          <w:szCs w:val="20"/>
        </w:rPr>
        <w:t xml:space="preserve"> </w:t>
      </w:r>
      <w:r w:rsidRPr="008A6ACB">
        <w:rPr>
          <w:b w:val="0"/>
          <w:color w:val="000000" w:themeColor="text1"/>
          <w:sz w:val="20"/>
          <w:szCs w:val="20"/>
        </w:rPr>
        <w:t xml:space="preserve">: </w:t>
      </w:r>
      <w:r w:rsidRPr="008A6ACB">
        <w:rPr>
          <w:rStyle w:val="Accentuation"/>
          <w:b w:val="0"/>
          <w:color w:val="000000" w:themeColor="text1"/>
          <w:sz w:val="20"/>
          <w:szCs w:val="20"/>
        </w:rPr>
        <w:t>Outlanding Woolf</w:t>
      </w:r>
      <w:r w:rsidRPr="008A6ACB">
        <w:rPr>
          <w:b w:val="0"/>
          <w:color w:val="000000" w:themeColor="text1"/>
          <w:sz w:val="20"/>
          <w:szCs w:val="20"/>
        </w:rPr>
        <w:t>, dir. C. Davison et A.-M. Smith Di Biasio.</w:t>
      </w:r>
      <w:r>
        <w:rPr>
          <w:b w:val="0"/>
          <w:color w:val="000000" w:themeColor="text1"/>
          <w:sz w:val="20"/>
          <w:szCs w:val="20"/>
        </w:rPr>
        <w:t xml:space="preserve"> </w:t>
      </w:r>
      <w:r w:rsidRPr="006C2E66">
        <w:rPr>
          <w:b w:val="0"/>
          <w:color w:val="000000" w:themeColor="text1"/>
          <w:sz w:val="20"/>
          <w:szCs w:val="20"/>
        </w:rPr>
        <w:t xml:space="preserve">Marie-Dominique Garnier, </w:t>
      </w:r>
      <w:r w:rsidRPr="00C31205">
        <w:rPr>
          <w:color w:val="000000" w:themeColor="text1"/>
          <w:sz w:val="20"/>
          <w:szCs w:val="20"/>
        </w:rPr>
        <w:t>«</w:t>
      </w:r>
      <w:r>
        <w:rPr>
          <w:color w:val="000000" w:themeColor="text1"/>
          <w:sz w:val="20"/>
          <w:szCs w:val="20"/>
        </w:rPr>
        <w:t> </w:t>
      </w:r>
      <w:r w:rsidRPr="006C2E66">
        <w:rPr>
          <w:b w:val="0"/>
          <w:color w:val="000000" w:themeColor="text1"/>
          <w:sz w:val="20"/>
          <w:szCs w:val="20"/>
        </w:rPr>
        <w:t xml:space="preserve">“Following suit(e)” : Woolf between Carlyle and Deleuze », </w:t>
      </w:r>
      <w:r w:rsidRPr="006C2E66">
        <w:rPr>
          <w:b w:val="0"/>
          <w:i/>
          <w:color w:val="000000" w:themeColor="text1"/>
          <w:sz w:val="20"/>
          <w:szCs w:val="20"/>
        </w:rPr>
        <w:t>Le Tour critique</w:t>
      </w:r>
      <w:r w:rsidRPr="006C2E66">
        <w:rPr>
          <w:b w:val="0"/>
          <w:color w:val="000000" w:themeColor="text1"/>
          <w:sz w:val="20"/>
          <w:szCs w:val="20"/>
        </w:rPr>
        <w:t xml:space="preserve">, Virginia Woolf among the philosophers / Virginia Woolf parmi les philosophes, dir. </w:t>
      </w:r>
      <w:r w:rsidRPr="00190299">
        <w:rPr>
          <w:b w:val="0"/>
          <w:color w:val="000000" w:themeColor="text1"/>
          <w:sz w:val="20"/>
          <w:szCs w:val="20"/>
          <w:lang w:val="en-US"/>
        </w:rPr>
        <w:t xml:space="preserve">Chantal Delourme, Richard Pedot, </w:t>
      </w:r>
      <w:r w:rsidR="00347C83">
        <w:fldChar w:fldCharType="begin"/>
      </w:r>
      <w:r w:rsidR="00347C83">
        <w:instrText xml:space="preserve"> HYPERLINK "http://letourcritique.</w:instrText>
      </w:r>
      <w:r w:rsidR="00347C83">
        <w:instrText xml:space="preserve">u-paris10.fr/index.php/letourcritique/issue/view/3" \t "_parent" </w:instrText>
      </w:r>
      <w:r w:rsidR="00347C83">
        <w:fldChar w:fldCharType="separate"/>
      </w:r>
      <w:r w:rsidRPr="00190299">
        <w:rPr>
          <w:rStyle w:val="Lienhypertexte"/>
          <w:b w:val="0"/>
          <w:color w:val="auto"/>
          <w:sz w:val="20"/>
          <w:szCs w:val="20"/>
          <w:u w:val="none"/>
          <w:lang w:val="en-US"/>
        </w:rPr>
        <w:t>N°2, 2013</w:t>
      </w:r>
      <w:r w:rsidR="00347C83">
        <w:rPr>
          <w:rStyle w:val="Lienhypertexte"/>
          <w:b w:val="0"/>
          <w:color w:val="auto"/>
          <w:sz w:val="20"/>
          <w:szCs w:val="20"/>
          <w:u w:val="none"/>
          <w:lang w:val="en-US"/>
        </w:rPr>
        <w:fldChar w:fldCharType="end"/>
      </w:r>
      <w:r w:rsidRPr="00190299">
        <w:rPr>
          <w:b w:val="0"/>
          <w:sz w:val="20"/>
          <w:szCs w:val="20"/>
          <w:lang w:val="en-US"/>
        </w:rPr>
        <w:t>.</w:t>
      </w:r>
      <w:r w:rsidRPr="00190299">
        <w:rPr>
          <w:b w:val="0"/>
          <w:color w:val="000000" w:themeColor="text1"/>
          <w:sz w:val="20"/>
          <w:szCs w:val="20"/>
          <w:lang w:val="en-US"/>
        </w:rPr>
        <w:t xml:space="preserve"> </w:t>
      </w:r>
      <w:r w:rsidRPr="008A6ACB">
        <w:rPr>
          <w:b w:val="0"/>
          <w:color w:val="000000" w:themeColor="text1"/>
          <w:sz w:val="20"/>
          <w:szCs w:val="20"/>
          <w:lang w:val="en-US"/>
        </w:rPr>
        <w:t>Chantal Delourme, «</w:t>
      </w:r>
      <w:r>
        <w:rPr>
          <w:b w:val="0"/>
          <w:color w:val="000000" w:themeColor="text1"/>
          <w:sz w:val="20"/>
          <w:szCs w:val="20"/>
          <w:lang w:val="en-US"/>
        </w:rPr>
        <w:t> ‘</w:t>
      </w:r>
      <w:r w:rsidRPr="008A6ACB">
        <w:rPr>
          <w:b w:val="0"/>
          <w:color w:val="000000" w:themeColor="text1"/>
          <w:sz w:val="20"/>
          <w:szCs w:val="20"/>
          <w:lang w:val="en-US"/>
        </w:rPr>
        <w:t xml:space="preserve">We are …marking time’: the Impossible Contemporary as a Poïe/Litical Threshold in Virginia Woolf’s </w:t>
      </w:r>
      <w:r w:rsidRPr="008A6ACB">
        <w:rPr>
          <w:b w:val="0"/>
          <w:i/>
          <w:color w:val="000000" w:themeColor="text1"/>
          <w:sz w:val="20"/>
          <w:szCs w:val="20"/>
          <w:lang w:val="en-US"/>
        </w:rPr>
        <w:t>Diary, Volume 5</w:t>
      </w:r>
      <w:r w:rsidRPr="00347596">
        <w:rPr>
          <w:b w:val="0"/>
          <w:color w:val="000000" w:themeColor="text1"/>
          <w:sz w:val="20"/>
          <w:szCs w:val="20"/>
          <w:lang w:val="en-US"/>
        </w:rPr>
        <w:t> »</w:t>
      </w:r>
      <w:r w:rsidRPr="008A6ACB">
        <w:rPr>
          <w:b w:val="0"/>
          <w:color w:val="000000" w:themeColor="text1"/>
          <w:sz w:val="20"/>
          <w:szCs w:val="20"/>
          <w:lang w:val="en-US"/>
        </w:rPr>
        <w:t xml:space="preserve">, </w:t>
      </w:r>
      <w:r w:rsidRPr="008A6ACB">
        <w:rPr>
          <w:b w:val="0"/>
          <w:i/>
          <w:iCs/>
          <w:color w:val="000000" w:themeColor="text1"/>
          <w:sz w:val="20"/>
          <w:szCs w:val="20"/>
          <w:lang w:val="en-US"/>
        </w:rPr>
        <w:t>Contemporary Woolf, Woolf contemporaine</w:t>
      </w:r>
      <w:r w:rsidRPr="008A6ACB">
        <w:rPr>
          <w:b w:val="0"/>
          <w:color w:val="000000" w:themeColor="text1"/>
          <w:sz w:val="20"/>
          <w:szCs w:val="20"/>
          <w:lang w:val="en-US"/>
        </w:rPr>
        <w:t xml:space="preserve">, dir. </w:t>
      </w:r>
      <w:r w:rsidRPr="008A6ACB">
        <w:rPr>
          <w:b w:val="0"/>
          <w:color w:val="000000" w:themeColor="text1"/>
          <w:sz w:val="20"/>
          <w:szCs w:val="20"/>
        </w:rPr>
        <w:t>Claire Davison et Anne-Marie Smith-Di Biasio, Presses universitaires de la Méditerranée, 2014, 191-207.</w:t>
      </w:r>
    </w:p>
  </w:endnote>
  <w:endnote w:id="24">
    <w:p w14:paraId="7FD3E6EF" w14:textId="0F078F4B" w:rsidR="00FC799C" w:rsidRPr="00580F84" w:rsidRDefault="00FC799C" w:rsidP="00D41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0"/>
          <w:szCs w:val="20"/>
        </w:rPr>
      </w:pPr>
      <w:r w:rsidRPr="00580F84">
        <w:rPr>
          <w:rStyle w:val="Marquedenotedefin"/>
          <w:color w:val="000000" w:themeColor="text1"/>
          <w:sz w:val="20"/>
          <w:szCs w:val="20"/>
        </w:rPr>
        <w:endnoteRef/>
      </w:r>
      <w:r>
        <w:rPr>
          <w:color w:val="000000" w:themeColor="text1"/>
          <w:sz w:val="20"/>
          <w:szCs w:val="20"/>
        </w:rPr>
        <w:t xml:space="preserve"> </w:t>
      </w:r>
      <w:r w:rsidRPr="00580F84">
        <w:rPr>
          <w:color w:val="000000" w:themeColor="text1"/>
          <w:sz w:val="20"/>
          <w:szCs w:val="20"/>
        </w:rPr>
        <w:t xml:space="preserve">Voir les travaux de Jacques Aubert, </w:t>
      </w:r>
      <w:r w:rsidR="002D0528">
        <w:rPr>
          <w:color w:val="000000" w:themeColor="text1"/>
          <w:sz w:val="20"/>
          <w:szCs w:val="20"/>
        </w:rPr>
        <w:t xml:space="preserve">Chantal Delourme, </w:t>
      </w:r>
      <w:r w:rsidRPr="00580F84">
        <w:rPr>
          <w:color w:val="000000" w:themeColor="text1"/>
          <w:sz w:val="20"/>
          <w:szCs w:val="20"/>
        </w:rPr>
        <w:t>Adolphe Haberer, Josiane Paccaud-Huguet, Mich</w:t>
      </w:r>
      <w:r w:rsidR="003B6917">
        <w:rPr>
          <w:color w:val="000000" w:themeColor="text1"/>
          <w:sz w:val="20"/>
          <w:szCs w:val="20"/>
        </w:rPr>
        <w:t>è</w:t>
      </w:r>
      <w:r w:rsidRPr="00580F84">
        <w:rPr>
          <w:color w:val="000000" w:themeColor="text1"/>
          <w:sz w:val="20"/>
          <w:szCs w:val="20"/>
        </w:rPr>
        <w:t>l</w:t>
      </w:r>
      <w:r w:rsidR="00474577">
        <w:rPr>
          <w:color w:val="000000" w:themeColor="text1"/>
          <w:sz w:val="20"/>
          <w:szCs w:val="20"/>
        </w:rPr>
        <w:t>e</w:t>
      </w:r>
      <w:r w:rsidRPr="00580F84">
        <w:rPr>
          <w:color w:val="000000" w:themeColor="text1"/>
          <w:sz w:val="20"/>
          <w:szCs w:val="20"/>
        </w:rPr>
        <w:t xml:space="preserve"> Rivoire, Denise Ginfray, Daniel Ferrer, Sophie Marret, Anne-Marie Smith-Di Biasio, Nicolas Boileau, Marie Allègre.</w:t>
      </w:r>
    </w:p>
  </w:endnote>
  <w:endnote w:id="25">
    <w:p w14:paraId="7F4F5C7A" w14:textId="377E0CFC" w:rsidR="00FC799C" w:rsidRPr="00580F84" w:rsidRDefault="00FC799C" w:rsidP="00E77C32">
      <w:pPr>
        <w:pStyle w:val="Notedefin"/>
        <w:jc w:val="both"/>
        <w:rPr>
          <w:color w:val="000000" w:themeColor="text1"/>
        </w:rPr>
      </w:pPr>
      <w:r w:rsidRPr="00580F84">
        <w:rPr>
          <w:rStyle w:val="Marquedenotedefin"/>
          <w:color w:val="000000" w:themeColor="text1"/>
        </w:rPr>
        <w:endnoteRef/>
      </w:r>
      <w:r w:rsidRPr="00580F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Voir </w:t>
      </w:r>
      <w:r w:rsidRPr="00580F84">
        <w:rPr>
          <w:bCs/>
        </w:rPr>
        <w:t xml:space="preserve">Adèle Cassigneul, </w:t>
      </w:r>
      <w:r w:rsidRPr="008A6ACB">
        <w:rPr>
          <w:bCs/>
          <w:i/>
        </w:rPr>
        <w:t>Voir, Observer, Penser</w:t>
      </w:r>
      <w:r w:rsidRPr="00580F84">
        <w:rPr>
          <w:bCs/>
        </w:rPr>
        <w:t>, Virginia Woolf et la photo-cinématographie, PUM, 2018.</w:t>
      </w:r>
    </w:p>
  </w:endnote>
  <w:endnote w:id="26">
    <w:p w14:paraId="48302408" w14:textId="760D6D0F" w:rsidR="00FC799C" w:rsidRPr="000A3012" w:rsidRDefault="00FC799C" w:rsidP="00D418C1">
      <w:pPr>
        <w:pStyle w:val="Notedefin"/>
        <w:keepNext/>
        <w:jc w:val="both"/>
        <w:rPr>
          <w:color w:val="000000" w:themeColor="text1"/>
        </w:rPr>
      </w:pPr>
      <w:r w:rsidRPr="00580F84">
        <w:rPr>
          <w:rStyle w:val="Marquedenotedefin"/>
          <w:color w:val="000000" w:themeColor="text1"/>
        </w:rPr>
        <w:endnoteRef/>
      </w:r>
      <w:r>
        <w:rPr>
          <w:color w:val="000000" w:themeColor="text1"/>
          <w:lang w:val="en-US"/>
        </w:rPr>
        <w:t xml:space="preserve"> </w:t>
      </w:r>
      <w:r w:rsidRPr="00580F84">
        <w:rPr>
          <w:color w:val="000000" w:themeColor="text1"/>
          <w:lang w:val="en-US"/>
        </w:rPr>
        <w:t xml:space="preserve">Voir </w:t>
      </w:r>
      <w:r w:rsidRPr="008A6ACB">
        <w:rPr>
          <w:i/>
          <w:color w:val="000000" w:themeColor="text1"/>
          <w:lang w:val="en-US"/>
        </w:rPr>
        <w:t>Recycling Virginia Woolf in Contemporary Art and Literature</w:t>
      </w:r>
      <w:r w:rsidRPr="008A6ACB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ed.</w:t>
      </w:r>
      <w:r w:rsidRPr="008A6ACB">
        <w:rPr>
          <w:color w:val="000000" w:themeColor="text1"/>
          <w:lang w:val="en-US"/>
        </w:rPr>
        <w:t xml:space="preserve"> </w:t>
      </w:r>
      <w:r w:rsidRPr="00347596">
        <w:rPr>
          <w:color w:val="000000" w:themeColor="text1"/>
        </w:rPr>
        <w:t xml:space="preserve">Monica Latham, Caroline Marie, Anne-Laure Rigeade, à paraître London, Routledge, 2021. </w:t>
      </w:r>
      <w:r w:rsidRPr="008A6ACB">
        <w:rPr>
          <w:i/>
          <w:color w:val="000000" w:themeColor="text1"/>
        </w:rPr>
        <w:t>Europe</w:t>
      </w:r>
      <w:r w:rsidRPr="008A6ACB">
        <w:rPr>
          <w:color w:val="000000" w:themeColor="text1"/>
        </w:rPr>
        <w:t xml:space="preserve">, </w:t>
      </w:r>
      <w:r w:rsidRPr="008A6ACB">
        <w:rPr>
          <w:i/>
          <w:color w:val="000000" w:themeColor="text1"/>
        </w:rPr>
        <w:t>Virginia Woolf</w:t>
      </w:r>
      <w:r w:rsidRPr="008A6AC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A6ACB">
        <w:rPr>
          <w:color w:val="000000" w:themeColor="text1"/>
        </w:rPr>
        <w:t>1101-1102, janvier-février 2021, coordonné par Adèle Cassigneul.</w:t>
      </w:r>
    </w:p>
  </w:endnote>
  <w:endnote w:id="27">
    <w:p w14:paraId="79E3319A" w14:textId="77777777" w:rsidR="00FC799C" w:rsidRDefault="00FC799C" w:rsidP="00D418C1">
      <w:pPr>
        <w:pStyle w:val="Notedefin"/>
        <w:keepNext/>
        <w:jc w:val="both"/>
        <w:rPr>
          <w:color w:val="000000" w:themeColor="text1"/>
        </w:rPr>
      </w:pPr>
      <w:r w:rsidRPr="00F745BE">
        <w:rPr>
          <w:rStyle w:val="Marquedenotedefin"/>
          <w:color w:val="000000" w:themeColor="text1"/>
        </w:rPr>
        <w:endnoteRef/>
      </w:r>
      <w:r w:rsidRPr="00F745BE">
        <w:rPr>
          <w:color w:val="000000" w:themeColor="text1"/>
        </w:rPr>
        <w:t xml:space="preserve"> La SEW a été fondée en 1996 par Christine Reynier.</w:t>
      </w:r>
    </w:p>
    <w:p w14:paraId="1BF2D3F6" w14:textId="3F9F598C" w:rsidR="00FC799C" w:rsidRDefault="00FC799C" w:rsidP="00E77C32">
      <w:pPr>
        <w:pStyle w:val="Notedefin"/>
        <w:jc w:val="both"/>
      </w:pPr>
    </w:p>
    <w:p w14:paraId="5F3B1DC9" w14:textId="79F27E42" w:rsidR="00FC799C" w:rsidRDefault="00FC799C" w:rsidP="00E77C32">
      <w:pPr>
        <w:pStyle w:val="Notedefin"/>
        <w:jc w:val="both"/>
      </w:pPr>
    </w:p>
    <w:p w14:paraId="1A7FC28B" w14:textId="77777777" w:rsidR="00FC799C" w:rsidRPr="00B5291E" w:rsidRDefault="00FC799C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4414497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6F399D" w14:textId="77777777" w:rsidR="00FC799C" w:rsidRDefault="00FC799C" w:rsidP="00097CC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1FA73" w14:textId="77777777" w:rsidR="00FC799C" w:rsidRDefault="00FC799C" w:rsidP="005740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65569291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12B5C5" w14:textId="77777777" w:rsidR="00FC799C" w:rsidRDefault="00FC799C" w:rsidP="00097CC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47C8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6D3FEC4" w14:textId="77777777" w:rsidR="00FC799C" w:rsidRDefault="00FC799C" w:rsidP="0057408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2C404" w14:textId="77777777" w:rsidR="005A3400" w:rsidRDefault="005A3400" w:rsidP="00B52D84">
      <w:r>
        <w:separator/>
      </w:r>
    </w:p>
  </w:footnote>
  <w:footnote w:type="continuationSeparator" w:id="0">
    <w:p w14:paraId="0CB746CC" w14:textId="77777777" w:rsidR="005A3400" w:rsidRDefault="005A3400" w:rsidP="00B5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F9"/>
    <w:rsid w:val="00003D42"/>
    <w:rsid w:val="00012732"/>
    <w:rsid w:val="000134E5"/>
    <w:rsid w:val="00016C30"/>
    <w:rsid w:val="00020340"/>
    <w:rsid w:val="000276B3"/>
    <w:rsid w:val="00030CC3"/>
    <w:rsid w:val="00034636"/>
    <w:rsid w:val="00041E44"/>
    <w:rsid w:val="000777C5"/>
    <w:rsid w:val="0008414A"/>
    <w:rsid w:val="000853BA"/>
    <w:rsid w:val="00093D40"/>
    <w:rsid w:val="0009469D"/>
    <w:rsid w:val="00097320"/>
    <w:rsid w:val="00097CC7"/>
    <w:rsid w:val="000A3012"/>
    <w:rsid w:val="000A576C"/>
    <w:rsid w:val="000D0BF9"/>
    <w:rsid w:val="000D60B1"/>
    <w:rsid w:val="000F2C42"/>
    <w:rsid w:val="000F32A3"/>
    <w:rsid w:val="00105C05"/>
    <w:rsid w:val="00112102"/>
    <w:rsid w:val="00115C7A"/>
    <w:rsid w:val="00123AEA"/>
    <w:rsid w:val="0013294C"/>
    <w:rsid w:val="0014771F"/>
    <w:rsid w:val="00151DD3"/>
    <w:rsid w:val="00165986"/>
    <w:rsid w:val="00170140"/>
    <w:rsid w:val="001806B9"/>
    <w:rsid w:val="0018094C"/>
    <w:rsid w:val="001830C0"/>
    <w:rsid w:val="001877C5"/>
    <w:rsid w:val="00190299"/>
    <w:rsid w:val="001917FF"/>
    <w:rsid w:val="001A1BA6"/>
    <w:rsid w:val="001A318D"/>
    <w:rsid w:val="001B4ACD"/>
    <w:rsid w:val="001C3098"/>
    <w:rsid w:val="001C4E34"/>
    <w:rsid w:val="001C52D2"/>
    <w:rsid w:val="001D1FF9"/>
    <w:rsid w:val="001D4C07"/>
    <w:rsid w:val="001E152A"/>
    <w:rsid w:val="001F06D3"/>
    <w:rsid w:val="001F3F99"/>
    <w:rsid w:val="00202741"/>
    <w:rsid w:val="00215DDE"/>
    <w:rsid w:val="00221A0E"/>
    <w:rsid w:val="00221BCA"/>
    <w:rsid w:val="00227BB0"/>
    <w:rsid w:val="00232FEC"/>
    <w:rsid w:val="00241471"/>
    <w:rsid w:val="00241AE9"/>
    <w:rsid w:val="002459B5"/>
    <w:rsid w:val="00254C62"/>
    <w:rsid w:val="0025643F"/>
    <w:rsid w:val="0026371A"/>
    <w:rsid w:val="00263D84"/>
    <w:rsid w:val="00266258"/>
    <w:rsid w:val="00286904"/>
    <w:rsid w:val="00290DA1"/>
    <w:rsid w:val="002A2AF9"/>
    <w:rsid w:val="002A3447"/>
    <w:rsid w:val="002A541B"/>
    <w:rsid w:val="002C29A5"/>
    <w:rsid w:val="002C76E4"/>
    <w:rsid w:val="002D0528"/>
    <w:rsid w:val="002E361A"/>
    <w:rsid w:val="002E3865"/>
    <w:rsid w:val="002F53A9"/>
    <w:rsid w:val="002F5F8E"/>
    <w:rsid w:val="00303A34"/>
    <w:rsid w:val="00315832"/>
    <w:rsid w:val="00320E29"/>
    <w:rsid w:val="003255CC"/>
    <w:rsid w:val="0032658D"/>
    <w:rsid w:val="0033734D"/>
    <w:rsid w:val="0033790B"/>
    <w:rsid w:val="00340F10"/>
    <w:rsid w:val="00347596"/>
    <w:rsid w:val="00347C83"/>
    <w:rsid w:val="00353DAC"/>
    <w:rsid w:val="00357617"/>
    <w:rsid w:val="00363484"/>
    <w:rsid w:val="00367E4E"/>
    <w:rsid w:val="0037723D"/>
    <w:rsid w:val="003B6917"/>
    <w:rsid w:val="003C1C78"/>
    <w:rsid w:val="003C2044"/>
    <w:rsid w:val="003D109D"/>
    <w:rsid w:val="003D24DF"/>
    <w:rsid w:val="003D6AB3"/>
    <w:rsid w:val="003E6A5E"/>
    <w:rsid w:val="003E7A3C"/>
    <w:rsid w:val="003F3D4C"/>
    <w:rsid w:val="004055DB"/>
    <w:rsid w:val="00405668"/>
    <w:rsid w:val="00406CEC"/>
    <w:rsid w:val="00422EB4"/>
    <w:rsid w:val="00427417"/>
    <w:rsid w:val="00430048"/>
    <w:rsid w:val="00432294"/>
    <w:rsid w:val="004324BC"/>
    <w:rsid w:val="00436790"/>
    <w:rsid w:val="00444E6E"/>
    <w:rsid w:val="00445575"/>
    <w:rsid w:val="00462BD6"/>
    <w:rsid w:val="00463B27"/>
    <w:rsid w:val="00472CC9"/>
    <w:rsid w:val="00474577"/>
    <w:rsid w:val="00477B0A"/>
    <w:rsid w:val="00481F72"/>
    <w:rsid w:val="00483F20"/>
    <w:rsid w:val="00485770"/>
    <w:rsid w:val="004A43F4"/>
    <w:rsid w:val="004A4796"/>
    <w:rsid w:val="004B09E9"/>
    <w:rsid w:val="004C3068"/>
    <w:rsid w:val="004D3B79"/>
    <w:rsid w:val="004E35E2"/>
    <w:rsid w:val="004E4866"/>
    <w:rsid w:val="004F366A"/>
    <w:rsid w:val="004F5E75"/>
    <w:rsid w:val="004F6DE9"/>
    <w:rsid w:val="00521304"/>
    <w:rsid w:val="00524F00"/>
    <w:rsid w:val="0053320B"/>
    <w:rsid w:val="005336AE"/>
    <w:rsid w:val="0053585E"/>
    <w:rsid w:val="005374DB"/>
    <w:rsid w:val="00542CF0"/>
    <w:rsid w:val="00543152"/>
    <w:rsid w:val="005547FB"/>
    <w:rsid w:val="00556098"/>
    <w:rsid w:val="00570045"/>
    <w:rsid w:val="0057408B"/>
    <w:rsid w:val="00580F84"/>
    <w:rsid w:val="00583419"/>
    <w:rsid w:val="005868C9"/>
    <w:rsid w:val="00591D32"/>
    <w:rsid w:val="005A3400"/>
    <w:rsid w:val="005A370D"/>
    <w:rsid w:val="005B2981"/>
    <w:rsid w:val="005C718C"/>
    <w:rsid w:val="005D76B9"/>
    <w:rsid w:val="005E47BF"/>
    <w:rsid w:val="005F72A1"/>
    <w:rsid w:val="00600396"/>
    <w:rsid w:val="00621E72"/>
    <w:rsid w:val="00647198"/>
    <w:rsid w:val="0066103E"/>
    <w:rsid w:val="00661A34"/>
    <w:rsid w:val="00663B4B"/>
    <w:rsid w:val="00670621"/>
    <w:rsid w:val="00683354"/>
    <w:rsid w:val="0069082C"/>
    <w:rsid w:val="00696774"/>
    <w:rsid w:val="006B4467"/>
    <w:rsid w:val="006B7FC7"/>
    <w:rsid w:val="006C107D"/>
    <w:rsid w:val="006C2E66"/>
    <w:rsid w:val="006C2EBC"/>
    <w:rsid w:val="006D2592"/>
    <w:rsid w:val="006E5FFD"/>
    <w:rsid w:val="006E6476"/>
    <w:rsid w:val="006F0435"/>
    <w:rsid w:val="006F111E"/>
    <w:rsid w:val="006F2776"/>
    <w:rsid w:val="006F538A"/>
    <w:rsid w:val="0071540A"/>
    <w:rsid w:val="00717DC4"/>
    <w:rsid w:val="0073349F"/>
    <w:rsid w:val="00736CD0"/>
    <w:rsid w:val="007415A0"/>
    <w:rsid w:val="00746F93"/>
    <w:rsid w:val="007503DA"/>
    <w:rsid w:val="00751430"/>
    <w:rsid w:val="007535EA"/>
    <w:rsid w:val="00762906"/>
    <w:rsid w:val="00787185"/>
    <w:rsid w:val="007B480D"/>
    <w:rsid w:val="007C360E"/>
    <w:rsid w:val="007D454A"/>
    <w:rsid w:val="007E309D"/>
    <w:rsid w:val="0080589F"/>
    <w:rsid w:val="00812E7B"/>
    <w:rsid w:val="00821A5A"/>
    <w:rsid w:val="00836B05"/>
    <w:rsid w:val="00850997"/>
    <w:rsid w:val="0085293D"/>
    <w:rsid w:val="00853E98"/>
    <w:rsid w:val="008643C5"/>
    <w:rsid w:val="00866B44"/>
    <w:rsid w:val="00873C5A"/>
    <w:rsid w:val="00875829"/>
    <w:rsid w:val="00885120"/>
    <w:rsid w:val="00893038"/>
    <w:rsid w:val="00895036"/>
    <w:rsid w:val="008A6ACB"/>
    <w:rsid w:val="008B749E"/>
    <w:rsid w:val="008C05D4"/>
    <w:rsid w:val="008C338A"/>
    <w:rsid w:val="008C33A5"/>
    <w:rsid w:val="008C53E4"/>
    <w:rsid w:val="008E0370"/>
    <w:rsid w:val="008E1D36"/>
    <w:rsid w:val="008F0C72"/>
    <w:rsid w:val="008F2E83"/>
    <w:rsid w:val="008F4924"/>
    <w:rsid w:val="00900A5F"/>
    <w:rsid w:val="009054C1"/>
    <w:rsid w:val="009110B5"/>
    <w:rsid w:val="00911BFE"/>
    <w:rsid w:val="00922F00"/>
    <w:rsid w:val="00925224"/>
    <w:rsid w:val="00925586"/>
    <w:rsid w:val="00927C2C"/>
    <w:rsid w:val="00936DE4"/>
    <w:rsid w:val="00940284"/>
    <w:rsid w:val="00944CB5"/>
    <w:rsid w:val="00954FC6"/>
    <w:rsid w:val="00963B16"/>
    <w:rsid w:val="00965B50"/>
    <w:rsid w:val="00972F4A"/>
    <w:rsid w:val="0098354C"/>
    <w:rsid w:val="00991B8B"/>
    <w:rsid w:val="00995E74"/>
    <w:rsid w:val="00997461"/>
    <w:rsid w:val="009A5B4D"/>
    <w:rsid w:val="009C23B9"/>
    <w:rsid w:val="009C3294"/>
    <w:rsid w:val="009C7D03"/>
    <w:rsid w:val="009D2E14"/>
    <w:rsid w:val="009D740A"/>
    <w:rsid w:val="009E0419"/>
    <w:rsid w:val="009E41E3"/>
    <w:rsid w:val="009F04E7"/>
    <w:rsid w:val="009F23BD"/>
    <w:rsid w:val="009F31F2"/>
    <w:rsid w:val="009F5081"/>
    <w:rsid w:val="009F5945"/>
    <w:rsid w:val="009F659D"/>
    <w:rsid w:val="00A2089D"/>
    <w:rsid w:val="00A21BBB"/>
    <w:rsid w:val="00A2507E"/>
    <w:rsid w:val="00A320E1"/>
    <w:rsid w:val="00A32A7F"/>
    <w:rsid w:val="00A3658E"/>
    <w:rsid w:val="00A3729C"/>
    <w:rsid w:val="00A443B1"/>
    <w:rsid w:val="00A51750"/>
    <w:rsid w:val="00A525F3"/>
    <w:rsid w:val="00A57E27"/>
    <w:rsid w:val="00A60FCA"/>
    <w:rsid w:val="00A63CA6"/>
    <w:rsid w:val="00A67137"/>
    <w:rsid w:val="00A77163"/>
    <w:rsid w:val="00A8289C"/>
    <w:rsid w:val="00A903F9"/>
    <w:rsid w:val="00A93DB5"/>
    <w:rsid w:val="00AB1C7E"/>
    <w:rsid w:val="00AB531F"/>
    <w:rsid w:val="00AB53F7"/>
    <w:rsid w:val="00AB58A8"/>
    <w:rsid w:val="00AC2D1D"/>
    <w:rsid w:val="00AE08F0"/>
    <w:rsid w:val="00AE5DF7"/>
    <w:rsid w:val="00AE6863"/>
    <w:rsid w:val="00AF4EB3"/>
    <w:rsid w:val="00B02605"/>
    <w:rsid w:val="00B10870"/>
    <w:rsid w:val="00B14A60"/>
    <w:rsid w:val="00B152CC"/>
    <w:rsid w:val="00B15AA4"/>
    <w:rsid w:val="00B20DA5"/>
    <w:rsid w:val="00B21BC1"/>
    <w:rsid w:val="00B37F09"/>
    <w:rsid w:val="00B5291E"/>
    <w:rsid w:val="00B52D84"/>
    <w:rsid w:val="00B62B7A"/>
    <w:rsid w:val="00B6559A"/>
    <w:rsid w:val="00B86485"/>
    <w:rsid w:val="00B922D7"/>
    <w:rsid w:val="00B94893"/>
    <w:rsid w:val="00BA601A"/>
    <w:rsid w:val="00BB21D7"/>
    <w:rsid w:val="00BB5CD6"/>
    <w:rsid w:val="00BB6618"/>
    <w:rsid w:val="00BB7A14"/>
    <w:rsid w:val="00BC20FF"/>
    <w:rsid w:val="00BC3595"/>
    <w:rsid w:val="00BC6CC0"/>
    <w:rsid w:val="00BD16B1"/>
    <w:rsid w:val="00BD1B99"/>
    <w:rsid w:val="00BE1F5F"/>
    <w:rsid w:val="00BE2C73"/>
    <w:rsid w:val="00BF243B"/>
    <w:rsid w:val="00BF786A"/>
    <w:rsid w:val="00C1293D"/>
    <w:rsid w:val="00C173E5"/>
    <w:rsid w:val="00C23229"/>
    <w:rsid w:val="00C31205"/>
    <w:rsid w:val="00C3300D"/>
    <w:rsid w:val="00C35429"/>
    <w:rsid w:val="00C35C59"/>
    <w:rsid w:val="00C44938"/>
    <w:rsid w:val="00C55C28"/>
    <w:rsid w:val="00C76DB6"/>
    <w:rsid w:val="00CB45D9"/>
    <w:rsid w:val="00CC3829"/>
    <w:rsid w:val="00CE277A"/>
    <w:rsid w:val="00CE3593"/>
    <w:rsid w:val="00CE410B"/>
    <w:rsid w:val="00CF53FE"/>
    <w:rsid w:val="00D055C0"/>
    <w:rsid w:val="00D06497"/>
    <w:rsid w:val="00D14734"/>
    <w:rsid w:val="00D15A02"/>
    <w:rsid w:val="00D2032F"/>
    <w:rsid w:val="00D309C6"/>
    <w:rsid w:val="00D317CB"/>
    <w:rsid w:val="00D33130"/>
    <w:rsid w:val="00D33BD9"/>
    <w:rsid w:val="00D355F0"/>
    <w:rsid w:val="00D418C1"/>
    <w:rsid w:val="00D45C3A"/>
    <w:rsid w:val="00D51D6C"/>
    <w:rsid w:val="00D60CD1"/>
    <w:rsid w:val="00D6215E"/>
    <w:rsid w:val="00D62E87"/>
    <w:rsid w:val="00D8130B"/>
    <w:rsid w:val="00D84215"/>
    <w:rsid w:val="00DA3516"/>
    <w:rsid w:val="00DB1EF7"/>
    <w:rsid w:val="00DB34E5"/>
    <w:rsid w:val="00DB36D3"/>
    <w:rsid w:val="00DC5993"/>
    <w:rsid w:val="00DD7147"/>
    <w:rsid w:val="00DE3853"/>
    <w:rsid w:val="00DE7A4C"/>
    <w:rsid w:val="00DF4A74"/>
    <w:rsid w:val="00DF73C4"/>
    <w:rsid w:val="00E17C14"/>
    <w:rsid w:val="00E21498"/>
    <w:rsid w:val="00E2622A"/>
    <w:rsid w:val="00E274AB"/>
    <w:rsid w:val="00E324B8"/>
    <w:rsid w:val="00E364D7"/>
    <w:rsid w:val="00E441F7"/>
    <w:rsid w:val="00E5136F"/>
    <w:rsid w:val="00E56297"/>
    <w:rsid w:val="00E77C32"/>
    <w:rsid w:val="00E804D4"/>
    <w:rsid w:val="00E852A8"/>
    <w:rsid w:val="00E8640E"/>
    <w:rsid w:val="00E927C8"/>
    <w:rsid w:val="00EA4977"/>
    <w:rsid w:val="00EA655D"/>
    <w:rsid w:val="00EB0BDF"/>
    <w:rsid w:val="00EB186C"/>
    <w:rsid w:val="00EB4BE9"/>
    <w:rsid w:val="00EC07A1"/>
    <w:rsid w:val="00EC3307"/>
    <w:rsid w:val="00EC6F74"/>
    <w:rsid w:val="00ED06C6"/>
    <w:rsid w:val="00ED232B"/>
    <w:rsid w:val="00ED37F0"/>
    <w:rsid w:val="00ED3BB6"/>
    <w:rsid w:val="00EE6775"/>
    <w:rsid w:val="00EE707A"/>
    <w:rsid w:val="00EF722A"/>
    <w:rsid w:val="00F035FA"/>
    <w:rsid w:val="00F04347"/>
    <w:rsid w:val="00F113CF"/>
    <w:rsid w:val="00F12817"/>
    <w:rsid w:val="00F25B01"/>
    <w:rsid w:val="00F26867"/>
    <w:rsid w:val="00F27D15"/>
    <w:rsid w:val="00F35D25"/>
    <w:rsid w:val="00F4535A"/>
    <w:rsid w:val="00F66E1E"/>
    <w:rsid w:val="00F67078"/>
    <w:rsid w:val="00F745BE"/>
    <w:rsid w:val="00F87E7D"/>
    <w:rsid w:val="00F93C98"/>
    <w:rsid w:val="00F96623"/>
    <w:rsid w:val="00FB4F40"/>
    <w:rsid w:val="00FB57A0"/>
    <w:rsid w:val="00FB7EB4"/>
    <w:rsid w:val="00FC1663"/>
    <w:rsid w:val="00FC799C"/>
    <w:rsid w:val="00FC7F6B"/>
    <w:rsid w:val="00FD4B11"/>
    <w:rsid w:val="00FE11AE"/>
    <w:rsid w:val="00FF1438"/>
    <w:rsid w:val="00FF5B45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D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5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2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52D84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52D84"/>
    <w:rPr>
      <w:sz w:val="20"/>
      <w:szCs w:val="20"/>
      <w:lang w:val="en-GB"/>
    </w:rPr>
  </w:style>
  <w:style w:type="character" w:styleId="Marquenotebasdepage">
    <w:name w:val="footnote reference"/>
    <w:basedOn w:val="Policepardfaut"/>
    <w:uiPriority w:val="99"/>
    <w:unhideWhenUsed/>
    <w:rsid w:val="00B52D84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AE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AE08F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40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7408B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57408B"/>
  </w:style>
  <w:style w:type="character" w:styleId="Accentuation">
    <w:name w:val="Emphasis"/>
    <w:basedOn w:val="Policepardfaut"/>
    <w:uiPriority w:val="20"/>
    <w:qFormat/>
    <w:rsid w:val="0033734D"/>
    <w:rPr>
      <w:i/>
      <w:iCs/>
    </w:rPr>
  </w:style>
  <w:style w:type="character" w:styleId="Lienhypertexte">
    <w:name w:val="Hyperlink"/>
    <w:basedOn w:val="Policepardfaut"/>
    <w:uiPriority w:val="99"/>
    <w:unhideWhenUsed/>
    <w:rsid w:val="00254C6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C62"/>
    <w:rPr>
      <w:color w:val="605E5C"/>
      <w:shd w:val="clear" w:color="auto" w:fill="E1DFDD"/>
    </w:rPr>
  </w:style>
  <w:style w:type="paragraph" w:styleId="Sansinterligne">
    <w:name w:val="No Spacing"/>
    <w:aliases w:val="Bonne citation"/>
    <w:uiPriority w:val="1"/>
    <w:qFormat/>
    <w:rsid w:val="00B62B7A"/>
    <w:pPr>
      <w:ind w:left="1134" w:right="1134"/>
      <w:jc w:val="both"/>
    </w:pPr>
    <w:rPr>
      <w:rFonts w:ascii="Times New Roman" w:hAnsi="Times New Roman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7A"/>
    <w:rPr>
      <w:rFonts w:eastAsiaTheme="minorHAnsi"/>
      <w:sz w:val="18"/>
      <w:szCs w:val="18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7A"/>
    <w:rPr>
      <w:rFonts w:ascii="Times New Roman" w:hAnsi="Times New Roman" w:cs="Times New Roman"/>
      <w:sz w:val="18"/>
      <w:szCs w:val="18"/>
      <w:lang w:val="en-GB"/>
    </w:rPr>
  </w:style>
  <w:style w:type="character" w:styleId="Lienhypertextesuivi">
    <w:name w:val="FollowedHyperlink"/>
    <w:basedOn w:val="Policepardfaut"/>
    <w:uiPriority w:val="99"/>
    <w:semiHidden/>
    <w:unhideWhenUsed/>
    <w:rsid w:val="0048577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C53E4"/>
    <w:rPr>
      <w:lang w:val="en-GB"/>
    </w:rPr>
  </w:style>
  <w:style w:type="paragraph" w:styleId="NormalWeb">
    <w:name w:val="Normal (Web)"/>
    <w:basedOn w:val="Normal"/>
    <w:uiPriority w:val="99"/>
    <w:unhideWhenUsed/>
    <w:rsid w:val="00EE6775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2027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ext">
    <w:name w:val="text"/>
    <w:basedOn w:val="Policepardfaut"/>
    <w:rsid w:val="00202741"/>
  </w:style>
  <w:style w:type="paragraph" w:customStyle="1" w:styleId="Standard">
    <w:name w:val="Standard"/>
    <w:rsid w:val="002C76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821A5A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462B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BD6"/>
  </w:style>
  <w:style w:type="character" w:customStyle="1" w:styleId="CommentaireCar">
    <w:name w:val="Commentaire Car"/>
    <w:basedOn w:val="Policepardfaut"/>
    <w:link w:val="Commentaire"/>
    <w:uiPriority w:val="99"/>
    <w:semiHidden/>
    <w:rsid w:val="00462BD6"/>
    <w:rPr>
      <w:rFonts w:ascii="Times New Roman" w:eastAsia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BD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B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34636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3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notedefin">
    <w:name w:val="endnote reference"/>
    <w:basedOn w:val="Policepardfaut"/>
    <w:uiPriority w:val="99"/>
    <w:semiHidden/>
    <w:unhideWhenUsed/>
    <w:rsid w:val="0025643F"/>
    <w:rPr>
      <w:vertAlign w:val="superscript"/>
    </w:rPr>
  </w:style>
  <w:style w:type="character" w:customStyle="1" w:styleId="apple-converted-space">
    <w:name w:val="apple-converted-space"/>
    <w:basedOn w:val="Policepardfaut"/>
    <w:rsid w:val="00533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5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02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52D84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52D84"/>
    <w:rPr>
      <w:sz w:val="20"/>
      <w:szCs w:val="20"/>
      <w:lang w:val="en-GB"/>
    </w:rPr>
  </w:style>
  <w:style w:type="character" w:styleId="Marquenotebasdepage">
    <w:name w:val="footnote reference"/>
    <w:basedOn w:val="Policepardfaut"/>
    <w:uiPriority w:val="99"/>
    <w:unhideWhenUsed/>
    <w:rsid w:val="00B52D84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AE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AE08F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40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7408B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57408B"/>
  </w:style>
  <w:style w:type="character" w:styleId="Accentuation">
    <w:name w:val="Emphasis"/>
    <w:basedOn w:val="Policepardfaut"/>
    <w:uiPriority w:val="20"/>
    <w:qFormat/>
    <w:rsid w:val="0033734D"/>
    <w:rPr>
      <w:i/>
      <w:iCs/>
    </w:rPr>
  </w:style>
  <w:style w:type="character" w:styleId="Lienhypertexte">
    <w:name w:val="Hyperlink"/>
    <w:basedOn w:val="Policepardfaut"/>
    <w:uiPriority w:val="99"/>
    <w:unhideWhenUsed/>
    <w:rsid w:val="00254C6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C62"/>
    <w:rPr>
      <w:color w:val="605E5C"/>
      <w:shd w:val="clear" w:color="auto" w:fill="E1DFDD"/>
    </w:rPr>
  </w:style>
  <w:style w:type="paragraph" w:styleId="Sansinterligne">
    <w:name w:val="No Spacing"/>
    <w:aliases w:val="Bonne citation"/>
    <w:uiPriority w:val="1"/>
    <w:qFormat/>
    <w:rsid w:val="00B62B7A"/>
    <w:pPr>
      <w:ind w:left="1134" w:right="1134"/>
      <w:jc w:val="both"/>
    </w:pPr>
    <w:rPr>
      <w:rFonts w:ascii="Times New Roman" w:hAnsi="Times New Roman"/>
      <w:sz w:val="2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B7A"/>
    <w:rPr>
      <w:rFonts w:eastAsiaTheme="minorHAnsi"/>
      <w:sz w:val="18"/>
      <w:szCs w:val="18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B7A"/>
    <w:rPr>
      <w:rFonts w:ascii="Times New Roman" w:hAnsi="Times New Roman" w:cs="Times New Roman"/>
      <w:sz w:val="18"/>
      <w:szCs w:val="18"/>
      <w:lang w:val="en-GB"/>
    </w:rPr>
  </w:style>
  <w:style w:type="character" w:styleId="Lienhypertextesuivi">
    <w:name w:val="FollowedHyperlink"/>
    <w:basedOn w:val="Policepardfaut"/>
    <w:uiPriority w:val="99"/>
    <w:semiHidden/>
    <w:unhideWhenUsed/>
    <w:rsid w:val="0048577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8C53E4"/>
    <w:rPr>
      <w:lang w:val="en-GB"/>
    </w:rPr>
  </w:style>
  <w:style w:type="paragraph" w:styleId="NormalWeb">
    <w:name w:val="Normal (Web)"/>
    <w:basedOn w:val="Normal"/>
    <w:uiPriority w:val="99"/>
    <w:unhideWhenUsed/>
    <w:rsid w:val="00EE6775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2027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ext">
    <w:name w:val="text"/>
    <w:basedOn w:val="Policepardfaut"/>
    <w:rsid w:val="00202741"/>
  </w:style>
  <w:style w:type="paragraph" w:customStyle="1" w:styleId="Standard">
    <w:name w:val="Standard"/>
    <w:rsid w:val="002C76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821A5A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462B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BD6"/>
  </w:style>
  <w:style w:type="character" w:customStyle="1" w:styleId="CommentaireCar">
    <w:name w:val="Commentaire Car"/>
    <w:basedOn w:val="Policepardfaut"/>
    <w:link w:val="Commentaire"/>
    <w:uiPriority w:val="99"/>
    <w:semiHidden/>
    <w:rsid w:val="00462BD6"/>
    <w:rPr>
      <w:rFonts w:ascii="Times New Roman" w:eastAsia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BD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B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34636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43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64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notedefin">
    <w:name w:val="endnote reference"/>
    <w:basedOn w:val="Policepardfaut"/>
    <w:uiPriority w:val="99"/>
    <w:semiHidden/>
    <w:unhideWhenUsed/>
    <w:rsid w:val="0025643F"/>
    <w:rPr>
      <w:vertAlign w:val="superscript"/>
    </w:rPr>
  </w:style>
  <w:style w:type="character" w:customStyle="1" w:styleId="apple-converted-space">
    <w:name w:val="apple-converted-space"/>
    <w:basedOn w:val="Policepardfaut"/>
    <w:rsid w:val="0053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oolflecturesfrancaise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98B9-F81B-A347-B762-0CD837F9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6684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Di Biasio</dc:creator>
  <cp:keywords/>
  <dc:description/>
  <cp:lastModifiedBy>Charlène HUERRE-DANCOISNE</cp:lastModifiedBy>
  <cp:revision>2</cp:revision>
  <dcterms:created xsi:type="dcterms:W3CDTF">2021-09-19T16:16:00Z</dcterms:created>
  <dcterms:modified xsi:type="dcterms:W3CDTF">2021-09-19T16:16:00Z</dcterms:modified>
</cp:coreProperties>
</file>